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786D5FA" w14:textId="0DD5B420" w:rsidR="007139C6" w:rsidRPr="00554DAA" w:rsidRDefault="007139C6" w:rsidP="00554DAA">
      <w:pPr>
        <w:pStyle w:val="Nzev"/>
        <w:jc w:val="center"/>
        <w:rPr>
          <w:sz w:val="38"/>
          <w:szCs w:val="38"/>
        </w:rPr>
      </w:pPr>
      <w:r w:rsidRPr="00554DAA">
        <w:rPr>
          <w:sz w:val="38"/>
          <w:szCs w:val="38"/>
        </w:rPr>
        <w:t>SMLOUVA O POSKYTNUTÍ INVESTIČNÍHO PŘÍSPĚVKU</w:t>
      </w:r>
    </w:p>
    <w:p w14:paraId="55C209DA" w14:textId="3E43302B" w:rsidR="00554DAA" w:rsidRDefault="00554DAA" w:rsidP="00340D66">
      <w:pPr>
        <w:pStyle w:val="Bezmezer"/>
        <w:jc w:val="center"/>
      </w:pPr>
      <w:r>
        <w:t>uzavřená níže uvedeného dne, měsíce a roku</w:t>
      </w:r>
      <w:r w:rsidR="009A3170">
        <w:t xml:space="preserve"> </w:t>
      </w:r>
      <w:r>
        <w:t>mezi následujícími smluvními stranami:</w:t>
      </w:r>
    </w:p>
    <w:p w14:paraId="5A6BE9B1" w14:textId="50CB6509" w:rsidR="007139C6" w:rsidRDefault="007139C6" w:rsidP="00762FA3">
      <w:pPr>
        <w:spacing w:after="0"/>
      </w:pPr>
    </w:p>
    <w:p w14:paraId="25EFF951" w14:textId="27AFA50B" w:rsidR="00554DAA" w:rsidRDefault="00554DAA" w:rsidP="00762FA3">
      <w:pPr>
        <w:spacing w:after="0"/>
      </w:pPr>
    </w:p>
    <w:p w14:paraId="185B6440" w14:textId="77777777" w:rsidR="00762FA3" w:rsidRDefault="00762FA3" w:rsidP="00762FA3">
      <w:pPr>
        <w:spacing w:after="0"/>
      </w:pPr>
    </w:p>
    <w:p w14:paraId="789E7CA8" w14:textId="3704B074" w:rsidR="00F14500" w:rsidRDefault="00F14500" w:rsidP="00340D66">
      <w:pPr>
        <w:pStyle w:val="Bezmezer"/>
        <w:rPr>
          <w:b/>
          <w:bCs/>
        </w:rPr>
      </w:pPr>
      <w:r w:rsidRPr="00F14500">
        <w:rPr>
          <w:b/>
          <w:bCs/>
        </w:rPr>
        <w:t xml:space="preserve">Obec </w:t>
      </w:r>
      <w:bookmarkStart w:id="0" w:name="_Hlk189475650"/>
      <w:r w:rsidR="008A2FBF">
        <w:rPr>
          <w:b/>
          <w:bCs/>
        </w:rPr>
        <w:t>[</w:t>
      </w:r>
      <w:r w:rsidR="008A2FBF" w:rsidRPr="008A2FBF">
        <w:rPr>
          <w:b/>
          <w:bCs/>
          <w:highlight w:val="yellow"/>
        </w:rPr>
        <w:t>doplnit</w:t>
      </w:r>
      <w:r w:rsidR="008A2FBF">
        <w:rPr>
          <w:b/>
          <w:bCs/>
        </w:rPr>
        <w:t>]</w:t>
      </w:r>
      <w:bookmarkEnd w:id="0"/>
    </w:p>
    <w:p w14:paraId="5D751AEB" w14:textId="66F10D59" w:rsidR="00F14500" w:rsidRPr="0003603C" w:rsidRDefault="00F14500" w:rsidP="00340D66">
      <w:pPr>
        <w:pStyle w:val="Bezmezer"/>
      </w:pPr>
      <w:r w:rsidRPr="0003603C">
        <w:t xml:space="preserve">IČO: </w:t>
      </w:r>
      <w:r w:rsidR="008A2FBF" w:rsidRPr="008A2FBF">
        <w:t>[</w:t>
      </w:r>
      <w:r w:rsidR="008A2FBF" w:rsidRPr="008A2FBF">
        <w:rPr>
          <w:highlight w:val="yellow"/>
        </w:rPr>
        <w:t>doplnit</w:t>
      </w:r>
      <w:r w:rsidR="008A2FBF" w:rsidRPr="008A2FBF">
        <w:t>]</w:t>
      </w:r>
    </w:p>
    <w:p w14:paraId="7EC284EF" w14:textId="3C4D832F" w:rsidR="00F14500" w:rsidRPr="0003603C" w:rsidRDefault="00F14500" w:rsidP="00340D66">
      <w:pPr>
        <w:pStyle w:val="Bezmezer"/>
      </w:pPr>
      <w:r w:rsidRPr="0003603C">
        <w:t xml:space="preserve">se sídlem </w:t>
      </w:r>
      <w:r w:rsidR="008A2FBF" w:rsidRPr="008A2FBF">
        <w:t>[</w:t>
      </w:r>
      <w:r w:rsidR="008A2FBF" w:rsidRPr="008A2FBF">
        <w:rPr>
          <w:highlight w:val="yellow"/>
        </w:rPr>
        <w:t>doplnit</w:t>
      </w:r>
      <w:r w:rsidR="008A2FBF" w:rsidRPr="008A2FBF">
        <w:t>]</w:t>
      </w:r>
    </w:p>
    <w:p w14:paraId="57A1FF79" w14:textId="73213EDA" w:rsidR="00886458" w:rsidRPr="00886458" w:rsidRDefault="00886458" w:rsidP="00340D66">
      <w:pPr>
        <w:pStyle w:val="Bezmezer"/>
      </w:pPr>
      <w:r>
        <w:t xml:space="preserve">bankovní spojení: </w:t>
      </w:r>
      <w:r w:rsidRPr="00886458">
        <w:rPr>
          <w:highlight w:val="yellow"/>
        </w:rPr>
        <w:t>[doplnit číslo účtu]</w:t>
      </w:r>
    </w:p>
    <w:p w14:paraId="31DEC641" w14:textId="76D1C2CE" w:rsidR="00886458" w:rsidRDefault="00886458" w:rsidP="00340D66">
      <w:pPr>
        <w:pStyle w:val="Bezmezer"/>
      </w:pPr>
      <w:r>
        <w:t>zastoupené</w:t>
      </w:r>
      <w:r w:rsidR="008A2FBF">
        <w:t xml:space="preserve">: </w:t>
      </w:r>
      <w:r w:rsidR="008A2FBF" w:rsidRPr="008A2FBF">
        <w:t>[</w:t>
      </w:r>
      <w:r w:rsidR="008A2FBF" w:rsidRPr="008A2FBF">
        <w:rPr>
          <w:highlight w:val="yellow"/>
        </w:rPr>
        <w:t>doplnit</w:t>
      </w:r>
      <w:r w:rsidR="008A2FBF" w:rsidRPr="008A2FBF">
        <w:t>]</w:t>
      </w:r>
    </w:p>
    <w:p w14:paraId="68F33D43" w14:textId="713EB7DE" w:rsidR="00886458" w:rsidRPr="00554DAA" w:rsidRDefault="00886458" w:rsidP="00340D66">
      <w:pPr>
        <w:pStyle w:val="Bezmezer"/>
        <w:rPr>
          <w:i/>
          <w:iCs/>
        </w:rPr>
      </w:pPr>
      <w:r w:rsidRPr="00554DAA">
        <w:rPr>
          <w:i/>
          <w:iCs/>
        </w:rPr>
        <w:t>(dále jen „</w:t>
      </w:r>
      <w:r w:rsidR="009A3170">
        <w:rPr>
          <w:b/>
          <w:bCs/>
          <w:i/>
          <w:iCs/>
        </w:rPr>
        <w:t>Obec</w:t>
      </w:r>
      <w:r w:rsidRPr="00554DAA">
        <w:rPr>
          <w:i/>
          <w:iCs/>
        </w:rPr>
        <w:t>“)</w:t>
      </w:r>
    </w:p>
    <w:p w14:paraId="7136942B" w14:textId="55DF245D" w:rsidR="00886458" w:rsidRDefault="00886458" w:rsidP="00340D66">
      <w:pPr>
        <w:pStyle w:val="Bezmezer"/>
      </w:pPr>
    </w:p>
    <w:p w14:paraId="6C82EF9B" w14:textId="0296F569" w:rsidR="00886458" w:rsidRDefault="00886458" w:rsidP="00340D66">
      <w:pPr>
        <w:pStyle w:val="Bezmezer"/>
      </w:pPr>
      <w:r>
        <w:t>a</w:t>
      </w:r>
    </w:p>
    <w:p w14:paraId="74518034" w14:textId="75B03A88" w:rsidR="00886458" w:rsidRDefault="00886458" w:rsidP="00340D66">
      <w:pPr>
        <w:pStyle w:val="Bezmezer"/>
      </w:pPr>
    </w:p>
    <w:p w14:paraId="509ACFE9" w14:textId="77777777" w:rsidR="006726A1" w:rsidRPr="00340D66" w:rsidRDefault="006726A1" w:rsidP="00340D66">
      <w:pPr>
        <w:pStyle w:val="Bezmezer"/>
        <w:rPr>
          <w:b/>
          <w:bCs/>
        </w:rPr>
      </w:pPr>
      <w:r w:rsidRPr="00340D66">
        <w:rPr>
          <w:b/>
          <w:bCs/>
        </w:rPr>
        <w:t>(</w:t>
      </w:r>
      <w:r w:rsidRPr="008F2C65">
        <w:rPr>
          <w:b/>
          <w:bCs/>
          <w:highlight w:val="yellow"/>
        </w:rPr>
        <w:t>doplnit název právnické osoby / jméno a příjmení fyzické osoby</w:t>
      </w:r>
      <w:r w:rsidRPr="00340D66">
        <w:rPr>
          <w:b/>
          <w:bCs/>
        </w:rPr>
        <w:t>)</w:t>
      </w:r>
    </w:p>
    <w:p w14:paraId="5E26F635" w14:textId="77777777" w:rsidR="006726A1" w:rsidRPr="006726A1" w:rsidRDefault="006726A1" w:rsidP="00340D66">
      <w:pPr>
        <w:pStyle w:val="Bezmezer"/>
      </w:pPr>
      <w:r w:rsidRPr="006726A1">
        <w:t>(sídlem / bytem nepodnikající fyzické osoby):</w:t>
      </w:r>
    </w:p>
    <w:p w14:paraId="17C043EC" w14:textId="77777777" w:rsidR="006726A1" w:rsidRPr="006726A1" w:rsidRDefault="006726A1" w:rsidP="00340D66">
      <w:pPr>
        <w:pStyle w:val="Bezmezer"/>
      </w:pPr>
      <w:r w:rsidRPr="006726A1">
        <w:t>(IČO právnické osoby / rodné číslo fyzické osoby):</w:t>
      </w:r>
    </w:p>
    <w:p w14:paraId="316B9D94" w14:textId="45265E7A" w:rsidR="006726A1" w:rsidRPr="006726A1" w:rsidRDefault="006726A1" w:rsidP="00340D66">
      <w:pPr>
        <w:pStyle w:val="Bezmezer"/>
      </w:pPr>
      <w:r w:rsidRPr="006726A1">
        <w:t>bankovní spojení:</w:t>
      </w:r>
      <w:r w:rsidR="00510471" w:rsidRPr="00510471">
        <w:t xml:space="preserve"> [</w:t>
      </w:r>
      <w:r w:rsidR="00510471" w:rsidRPr="00510471">
        <w:rPr>
          <w:highlight w:val="yellow"/>
        </w:rPr>
        <w:t>doplnit číslo účtu</w:t>
      </w:r>
      <w:r w:rsidR="00510471" w:rsidRPr="00510471">
        <w:t>]</w:t>
      </w:r>
    </w:p>
    <w:p w14:paraId="0888F1AA" w14:textId="066948BF" w:rsidR="006726A1" w:rsidRDefault="006726A1" w:rsidP="00340D66">
      <w:pPr>
        <w:pStyle w:val="Bezmezer"/>
      </w:pPr>
      <w:r w:rsidRPr="006726A1">
        <w:t>zastoupený/á:</w:t>
      </w:r>
      <w:r w:rsidR="00510471">
        <w:t xml:space="preserve"> </w:t>
      </w:r>
      <w:r w:rsidR="00510471" w:rsidRPr="00510471">
        <w:t>[</w:t>
      </w:r>
      <w:r w:rsidR="00510471" w:rsidRPr="00510471">
        <w:rPr>
          <w:highlight w:val="yellow"/>
        </w:rPr>
        <w:t>doplnit zástupce</w:t>
      </w:r>
      <w:r w:rsidR="00510471" w:rsidRPr="00510471">
        <w:t>]</w:t>
      </w:r>
    </w:p>
    <w:p w14:paraId="10187698" w14:textId="3FAABF7F" w:rsidR="00510471" w:rsidRPr="006726A1" w:rsidRDefault="00510471" w:rsidP="00340D66">
      <w:pPr>
        <w:pStyle w:val="Bezmezer"/>
      </w:pPr>
      <w:r>
        <w:t xml:space="preserve">vedená: u </w:t>
      </w:r>
      <w:r w:rsidRPr="00510471">
        <w:t>[</w:t>
      </w:r>
      <w:r w:rsidRPr="00510471">
        <w:rPr>
          <w:highlight w:val="yellow"/>
        </w:rPr>
        <w:t>Krajského / Městského</w:t>
      </w:r>
      <w:r w:rsidRPr="00510471">
        <w:t>]</w:t>
      </w:r>
      <w:r>
        <w:t xml:space="preserve"> soudu v </w:t>
      </w:r>
      <w:r w:rsidRPr="00510471">
        <w:t>[</w:t>
      </w:r>
      <w:r w:rsidRPr="009A3170">
        <w:rPr>
          <w:highlight w:val="yellow"/>
        </w:rPr>
        <w:t xml:space="preserve">doplnit </w:t>
      </w:r>
      <w:r w:rsidR="009A3170" w:rsidRPr="009A3170">
        <w:rPr>
          <w:highlight w:val="yellow"/>
        </w:rPr>
        <w:t>město</w:t>
      </w:r>
      <w:r w:rsidRPr="00510471">
        <w:t>]</w:t>
      </w:r>
      <w:r>
        <w:t xml:space="preserve"> pod sp. zn. </w:t>
      </w:r>
      <w:r w:rsidRPr="00510471">
        <w:t>[</w:t>
      </w:r>
      <w:r w:rsidRPr="00510471">
        <w:rPr>
          <w:highlight w:val="yellow"/>
        </w:rPr>
        <w:t>doplnit sp. zn.</w:t>
      </w:r>
      <w:r w:rsidRPr="00510471">
        <w:t>]</w:t>
      </w:r>
    </w:p>
    <w:p w14:paraId="0343725F" w14:textId="08ABB165" w:rsidR="00886458" w:rsidRPr="00554DAA" w:rsidRDefault="006726A1" w:rsidP="00340D66">
      <w:pPr>
        <w:pStyle w:val="Bezmezer"/>
        <w:rPr>
          <w:i/>
          <w:iCs/>
        </w:rPr>
      </w:pPr>
      <w:r w:rsidRPr="00554DAA">
        <w:rPr>
          <w:i/>
          <w:iCs/>
        </w:rPr>
        <w:t>(dále jen „</w:t>
      </w:r>
      <w:r w:rsidRPr="00340D66">
        <w:rPr>
          <w:b/>
          <w:bCs/>
          <w:i/>
          <w:iCs/>
        </w:rPr>
        <w:t>Investor</w:t>
      </w:r>
      <w:r w:rsidRPr="00554DAA">
        <w:rPr>
          <w:i/>
          <w:iCs/>
        </w:rPr>
        <w:t>“)</w:t>
      </w:r>
    </w:p>
    <w:p w14:paraId="5E6B7B60" w14:textId="5C68EA97" w:rsidR="00886458" w:rsidRDefault="00886458" w:rsidP="00340D66">
      <w:pPr>
        <w:pStyle w:val="Bezmezer"/>
      </w:pPr>
    </w:p>
    <w:p w14:paraId="3FFC7F18" w14:textId="68E79AE4" w:rsidR="00886458" w:rsidRPr="00554DAA" w:rsidRDefault="00554DAA" w:rsidP="00340D66">
      <w:pPr>
        <w:pStyle w:val="Bezmezer"/>
        <w:rPr>
          <w:i/>
          <w:iCs/>
        </w:rPr>
      </w:pPr>
      <w:r w:rsidRPr="00554DAA">
        <w:rPr>
          <w:i/>
          <w:iCs/>
        </w:rPr>
        <w:t>(</w:t>
      </w:r>
      <w:r w:rsidR="009A3170">
        <w:rPr>
          <w:i/>
          <w:iCs/>
        </w:rPr>
        <w:t>Obec</w:t>
      </w:r>
      <w:r w:rsidRPr="00554DAA">
        <w:rPr>
          <w:i/>
          <w:iCs/>
        </w:rPr>
        <w:t xml:space="preserve"> a Investor společně dále jen „</w:t>
      </w:r>
      <w:r w:rsidRPr="00340D66">
        <w:rPr>
          <w:b/>
          <w:bCs/>
          <w:i/>
          <w:iCs/>
        </w:rPr>
        <w:t>Smluvní strany</w:t>
      </w:r>
      <w:r w:rsidRPr="00554DAA">
        <w:rPr>
          <w:i/>
          <w:iCs/>
        </w:rPr>
        <w:t>“)</w:t>
      </w:r>
    </w:p>
    <w:p w14:paraId="46BD1B22" w14:textId="0521A925" w:rsidR="00886458" w:rsidRDefault="00886458" w:rsidP="007139C6"/>
    <w:p w14:paraId="7762A543" w14:textId="77777777" w:rsidR="00762FA3" w:rsidRDefault="00762FA3" w:rsidP="007139C6"/>
    <w:p w14:paraId="13DDDA93" w14:textId="2B5EF0DB" w:rsidR="00886458" w:rsidRDefault="00554DAA" w:rsidP="00CB0A15">
      <w:pPr>
        <w:pStyle w:val="Nadpis1"/>
      </w:pPr>
      <w:r>
        <w:t>ÚVODNÍ USTANOVENÍ</w:t>
      </w:r>
    </w:p>
    <w:p w14:paraId="744AD7E0" w14:textId="07FB5397" w:rsidR="00554DAA" w:rsidRDefault="00554DAA" w:rsidP="00CB0A15">
      <w:pPr>
        <w:pStyle w:val="Nadpis2"/>
      </w:pPr>
      <w:r>
        <w:t xml:space="preserve">Tato smlouva o poskytnutí investičního příspěvku </w:t>
      </w:r>
      <w:r w:rsidRPr="0069389B">
        <w:rPr>
          <w:i/>
          <w:iCs/>
        </w:rPr>
        <w:t>(dále jen „</w:t>
      </w:r>
      <w:r w:rsidRPr="0069389B">
        <w:rPr>
          <w:b/>
          <w:bCs/>
          <w:i/>
          <w:iCs/>
        </w:rPr>
        <w:t>Smlouva</w:t>
      </w:r>
      <w:r w:rsidRPr="0069389B">
        <w:rPr>
          <w:i/>
          <w:iCs/>
        </w:rPr>
        <w:t>“)</w:t>
      </w:r>
      <w:r>
        <w:t xml:space="preserve"> je uzavírána na základě postupu Smluvních stran dle dokumentu </w:t>
      </w:r>
      <w:r w:rsidRPr="00DA612A">
        <w:rPr>
          <w:i/>
          <w:iCs/>
        </w:rPr>
        <w:t xml:space="preserve">Zásady pro </w:t>
      </w:r>
      <w:r w:rsidR="00DA612A" w:rsidRPr="00DA612A">
        <w:rPr>
          <w:i/>
          <w:iCs/>
        </w:rPr>
        <w:t xml:space="preserve">výstavbu </w:t>
      </w:r>
      <w:r w:rsidR="0055683E">
        <w:rPr>
          <w:i/>
          <w:iCs/>
        </w:rPr>
        <w:t xml:space="preserve">v obci </w:t>
      </w:r>
      <w:r w:rsidR="00D71EB5">
        <w:rPr>
          <w:i/>
          <w:iCs/>
        </w:rPr>
        <w:t>[</w:t>
      </w:r>
      <w:r w:rsidR="00D71EB5" w:rsidRPr="00D71EB5">
        <w:rPr>
          <w:i/>
          <w:iCs/>
          <w:highlight w:val="yellow"/>
        </w:rPr>
        <w:t>doplnit</w:t>
      </w:r>
      <w:r w:rsidR="00D71EB5">
        <w:rPr>
          <w:i/>
          <w:iCs/>
        </w:rPr>
        <w:t>]</w:t>
      </w:r>
      <w:r w:rsidR="00DA612A">
        <w:t xml:space="preserve">, schválené Zastupitelstvem </w:t>
      </w:r>
      <w:r w:rsidR="0055683E">
        <w:t>Obce</w:t>
      </w:r>
      <w:r w:rsidR="00DA612A">
        <w:t xml:space="preserve"> </w:t>
      </w:r>
      <w:r w:rsidR="00D71EB5">
        <w:t>[</w:t>
      </w:r>
      <w:r w:rsidR="00D71EB5" w:rsidRPr="00D71EB5">
        <w:rPr>
          <w:highlight w:val="yellow"/>
        </w:rPr>
        <w:t>doplnit</w:t>
      </w:r>
      <w:r w:rsidR="00D71EB5">
        <w:t>]</w:t>
      </w:r>
      <w:r w:rsidR="00DA612A">
        <w:t xml:space="preserve"> usnesením č. </w:t>
      </w:r>
      <w:r w:rsidR="00222642" w:rsidRPr="00222642">
        <w:t>[</w:t>
      </w:r>
      <w:r w:rsidR="00222642" w:rsidRPr="00222642">
        <w:rPr>
          <w:highlight w:val="yellow"/>
        </w:rPr>
        <w:t>doplnit</w:t>
      </w:r>
      <w:r w:rsidR="00222642" w:rsidRPr="00222642">
        <w:t>]</w:t>
      </w:r>
      <w:r w:rsidR="00222642">
        <w:t xml:space="preserve"> </w:t>
      </w:r>
      <w:r w:rsidR="00DA612A">
        <w:t xml:space="preserve">ze dne </w:t>
      </w:r>
      <w:r w:rsidR="00222642" w:rsidRPr="00222642">
        <w:t>[</w:t>
      </w:r>
      <w:r w:rsidR="00222642" w:rsidRPr="00222642">
        <w:rPr>
          <w:highlight w:val="yellow"/>
        </w:rPr>
        <w:t>doplnit</w:t>
      </w:r>
      <w:r w:rsidR="00222642" w:rsidRPr="00222642">
        <w:t xml:space="preserve">] </w:t>
      </w:r>
      <w:r w:rsidR="00DA612A" w:rsidRPr="0069389B">
        <w:rPr>
          <w:i/>
          <w:iCs/>
        </w:rPr>
        <w:t>(dále jen „</w:t>
      </w:r>
      <w:r w:rsidR="00DA612A" w:rsidRPr="0069389B">
        <w:rPr>
          <w:b/>
          <w:bCs/>
          <w:i/>
          <w:iCs/>
        </w:rPr>
        <w:t>Zásady</w:t>
      </w:r>
      <w:r w:rsidR="00DA612A" w:rsidRPr="0069389B">
        <w:rPr>
          <w:i/>
          <w:iCs/>
        </w:rPr>
        <w:t>“)</w:t>
      </w:r>
      <w:r w:rsidR="00DA612A">
        <w:t xml:space="preserve">, které byly přijaty z důvodu zvyšujících se nároků na veřejnou infrastrukturu, včetně staveb občanské vybavenosti a veřejných služeb, které jsou způsobeny nárustem hrubých podlažních ploch investičních záměrů na území </w:t>
      </w:r>
      <w:r w:rsidR="0055683E">
        <w:t>Obce</w:t>
      </w:r>
      <w:r w:rsidR="00DA612A">
        <w:t>.</w:t>
      </w:r>
    </w:p>
    <w:p w14:paraId="5D0C0017" w14:textId="1713957C" w:rsidR="00DA612A" w:rsidRDefault="00DA612A" w:rsidP="00CB0A15">
      <w:pPr>
        <w:pStyle w:val="Nadpis2"/>
      </w:pPr>
      <w:bookmarkStart w:id="1" w:name="_Ref104365423"/>
      <w:r>
        <w:t xml:space="preserve">Investor hodlá na území </w:t>
      </w:r>
      <w:r w:rsidR="0055683E">
        <w:t>Obce</w:t>
      </w:r>
      <w:r>
        <w:t xml:space="preserve"> realizovat </w:t>
      </w:r>
      <w:r w:rsidR="00222642">
        <w:t>I</w:t>
      </w:r>
      <w:r>
        <w:t xml:space="preserve">nvestiční záměr </w:t>
      </w:r>
      <w:r w:rsidR="00222642">
        <w:t xml:space="preserve">ve smyslu čl. I odst. 2 Zásad </w:t>
      </w:r>
      <w:r>
        <w:t xml:space="preserve">s názvem </w:t>
      </w:r>
      <w:r w:rsidR="00340D66">
        <w:t>[</w:t>
      </w:r>
      <w:r w:rsidR="00340D66" w:rsidRPr="00340D66">
        <w:rPr>
          <w:highlight w:val="yellow"/>
        </w:rPr>
        <w:t>doplnit</w:t>
      </w:r>
      <w:r w:rsidR="00340D66">
        <w:t>]</w:t>
      </w:r>
      <w:r>
        <w:t>, a to na</w:t>
      </w:r>
      <w:r w:rsidR="00B23702">
        <w:t xml:space="preserve"> následujících pozemcích:</w:t>
      </w:r>
      <w:bookmarkEnd w:id="1"/>
    </w:p>
    <w:p w14:paraId="787533FB" w14:textId="7D9B78DE" w:rsidR="00DA612A" w:rsidRDefault="00DA612A" w:rsidP="00DA612A">
      <w:pPr>
        <w:pStyle w:val="Nadpis3"/>
      </w:pPr>
      <w:r>
        <w:t>pozem</w:t>
      </w:r>
      <w:r w:rsidR="00B23702">
        <w:t>ek</w:t>
      </w:r>
      <w:r>
        <w:t xml:space="preserve"> p. č. </w:t>
      </w:r>
      <w:r w:rsidR="00B23702">
        <w:t>[</w:t>
      </w:r>
      <w:r w:rsidR="00B23702" w:rsidRPr="00340D66">
        <w:rPr>
          <w:highlight w:val="yellow"/>
        </w:rPr>
        <w:t>doplnit</w:t>
      </w:r>
      <w:r w:rsidR="00B23702">
        <w:t>]</w:t>
      </w:r>
      <w:r>
        <w:t>;</w:t>
      </w:r>
    </w:p>
    <w:p w14:paraId="13290136" w14:textId="05455365" w:rsidR="00DA612A" w:rsidRDefault="00DA612A" w:rsidP="00DA612A">
      <w:pPr>
        <w:pStyle w:val="Nadpis3"/>
      </w:pPr>
      <w:r>
        <w:t>pozem</w:t>
      </w:r>
      <w:r w:rsidR="00B23702">
        <w:t>ek</w:t>
      </w:r>
      <w:r>
        <w:t xml:space="preserve"> p. č. </w:t>
      </w:r>
      <w:r w:rsidR="00B23702">
        <w:t>[</w:t>
      </w:r>
      <w:r w:rsidR="00B23702" w:rsidRPr="00340D66">
        <w:rPr>
          <w:highlight w:val="yellow"/>
        </w:rPr>
        <w:t>doplnit</w:t>
      </w:r>
      <w:r w:rsidR="00B23702">
        <w:t>]</w:t>
      </w:r>
      <w:r>
        <w:t>;</w:t>
      </w:r>
    </w:p>
    <w:p w14:paraId="29A430F7" w14:textId="31CA9D39" w:rsidR="00B33231" w:rsidRDefault="00B33231" w:rsidP="00DA612A">
      <w:pPr>
        <w:pStyle w:val="Nadpis3"/>
      </w:pPr>
      <w:r w:rsidRPr="00B33231">
        <w:rPr>
          <w:highlight w:val="yellow"/>
        </w:rPr>
        <w:t>apod.</w:t>
      </w:r>
    </w:p>
    <w:p w14:paraId="288A19E7" w14:textId="493D7AD2" w:rsidR="00886458" w:rsidRPr="00340D66" w:rsidRDefault="00B23702" w:rsidP="00B23702">
      <w:pPr>
        <w:ind w:left="709"/>
      </w:pPr>
      <w:r w:rsidRPr="00340D66">
        <w:t xml:space="preserve">to vše v katastrálním území a obci </w:t>
      </w:r>
      <w:r w:rsidR="00D71EB5">
        <w:t>[</w:t>
      </w:r>
      <w:r w:rsidR="00D71EB5" w:rsidRPr="003F7243">
        <w:rPr>
          <w:highlight w:val="yellow"/>
        </w:rPr>
        <w:t>doplnit</w:t>
      </w:r>
      <w:r w:rsidR="00D71EB5">
        <w:t>]</w:t>
      </w:r>
      <w:r w:rsidRPr="00340D66">
        <w:t xml:space="preserve"> </w:t>
      </w:r>
      <w:r w:rsidRPr="00340D66">
        <w:rPr>
          <w:i/>
          <w:iCs/>
        </w:rPr>
        <w:t>(dále jen „</w:t>
      </w:r>
      <w:r w:rsidRPr="00340D66">
        <w:rPr>
          <w:b/>
          <w:bCs/>
          <w:i/>
          <w:iCs/>
        </w:rPr>
        <w:t>Investiční záměr</w:t>
      </w:r>
      <w:r w:rsidRPr="00340D66">
        <w:rPr>
          <w:i/>
          <w:iCs/>
        </w:rPr>
        <w:t>“)</w:t>
      </w:r>
      <w:r w:rsidRPr="00340D66">
        <w:t>, sestávající se z následujících staveb a zařízení:</w:t>
      </w:r>
      <w:r w:rsidR="003F7243">
        <w:t xml:space="preserve"> </w:t>
      </w:r>
    </w:p>
    <w:p w14:paraId="6182FD7F" w14:textId="3F7633BF" w:rsidR="00B23702" w:rsidRPr="00340D66" w:rsidRDefault="00B23702" w:rsidP="00B23702">
      <w:pPr>
        <w:pStyle w:val="Nadpis3"/>
      </w:pPr>
      <w:r w:rsidRPr="00340D66">
        <w:t>[</w:t>
      </w:r>
      <w:r w:rsidRPr="00340D66">
        <w:rPr>
          <w:highlight w:val="yellow"/>
        </w:rPr>
        <w:t>doplnit</w:t>
      </w:r>
      <w:r w:rsidRPr="00340D66">
        <w:t>];</w:t>
      </w:r>
    </w:p>
    <w:p w14:paraId="34ABEF25" w14:textId="7D69F1F6" w:rsidR="00B23702" w:rsidRPr="00340D66" w:rsidRDefault="00B23702" w:rsidP="00B23702">
      <w:pPr>
        <w:pStyle w:val="Nadpis3"/>
      </w:pPr>
      <w:r w:rsidRPr="00340D66">
        <w:t>[</w:t>
      </w:r>
      <w:r w:rsidRPr="00340D66">
        <w:rPr>
          <w:highlight w:val="yellow"/>
        </w:rPr>
        <w:t>doplnit</w:t>
      </w:r>
      <w:r w:rsidRPr="00340D66">
        <w:t>];</w:t>
      </w:r>
    </w:p>
    <w:p w14:paraId="6474731C" w14:textId="2CF45924" w:rsidR="00B23702" w:rsidRDefault="00B23702" w:rsidP="00B23702">
      <w:pPr>
        <w:ind w:left="709"/>
      </w:pPr>
      <w:r>
        <w:t>o navrhovaných parametrech:</w:t>
      </w:r>
    </w:p>
    <w:p w14:paraId="6748B64E" w14:textId="1AE87083" w:rsidR="00B23702" w:rsidRPr="00340D66" w:rsidRDefault="00B23702" w:rsidP="00B23702">
      <w:pPr>
        <w:pStyle w:val="Nadpis3"/>
      </w:pPr>
      <w:r w:rsidRPr="00340D66">
        <w:lastRenderedPageBreak/>
        <w:t>[</w:t>
      </w:r>
      <w:r w:rsidRPr="00340D66">
        <w:rPr>
          <w:highlight w:val="yellow"/>
        </w:rPr>
        <w:t>doplnit</w:t>
      </w:r>
      <w:r w:rsidR="00340D66" w:rsidRPr="00340D66">
        <w:rPr>
          <w:highlight w:val="yellow"/>
        </w:rPr>
        <w:t xml:space="preserve"> základní parametry staveb Investičního záměru, a to výšku staveb, rozsah obestavěného prostoru, počet jednotek apod.</w:t>
      </w:r>
      <w:r w:rsidRPr="00340D66">
        <w:t>]</w:t>
      </w:r>
    </w:p>
    <w:p w14:paraId="4C870700" w14:textId="1A62BE77" w:rsidR="00340D66" w:rsidRDefault="00340D66" w:rsidP="006101CE">
      <w:pPr>
        <w:ind w:left="709"/>
      </w:pPr>
      <w:r w:rsidRPr="00340D66">
        <w:t>a o velikosti [</w:t>
      </w:r>
      <w:r w:rsidRPr="00340D66">
        <w:rPr>
          <w:highlight w:val="yellow"/>
        </w:rPr>
        <w:t>doplnit</w:t>
      </w:r>
      <w:r w:rsidRPr="00340D66">
        <w:t>] m</w:t>
      </w:r>
      <w:r w:rsidRPr="00340D66">
        <w:rPr>
          <w:vertAlign w:val="superscript"/>
        </w:rPr>
        <w:t>2</w:t>
      </w:r>
      <w:r w:rsidRPr="00340D66">
        <w:t xml:space="preserve"> hrubé podlažní plochy</w:t>
      </w:r>
      <w:r>
        <w:t xml:space="preserve">, </w:t>
      </w:r>
      <w:bookmarkStart w:id="2" w:name="_Hlk175928575"/>
      <w:r>
        <w:t xml:space="preserve">kladoucí následující nároky na veřejnou infrastrukturu, </w:t>
      </w:r>
      <w:r w:rsidR="006101CE">
        <w:t>občanskou vybavenost a veřejné služby</w:t>
      </w:r>
      <w:r w:rsidR="00F442B2">
        <w:t>, viz Nezbytná infrastruktura dle čl. 1 odst. 1</w:t>
      </w:r>
      <w:r w:rsidR="00CB42DA">
        <w:t>4</w:t>
      </w:r>
      <w:r w:rsidR="00F442B2">
        <w:t xml:space="preserve"> Zásad</w:t>
      </w:r>
      <w:bookmarkEnd w:id="2"/>
      <w:r w:rsidR="006101CE">
        <w:t>:</w:t>
      </w:r>
    </w:p>
    <w:p w14:paraId="27472EC9" w14:textId="61FF325E" w:rsidR="006101CE" w:rsidRPr="00340D66" w:rsidRDefault="006101CE" w:rsidP="006101CE">
      <w:pPr>
        <w:pStyle w:val="Nadpis3"/>
      </w:pPr>
      <w:r w:rsidRPr="006101CE">
        <w:t>[</w:t>
      </w:r>
      <w:r w:rsidRPr="00F442B2">
        <w:rPr>
          <w:highlight w:val="yellow"/>
        </w:rPr>
        <w:t>doplnit nároky na</w:t>
      </w:r>
      <w:r w:rsidR="00F442B2" w:rsidRPr="00F442B2">
        <w:rPr>
          <w:highlight w:val="yellow"/>
        </w:rPr>
        <w:t xml:space="preserve"> Nezbytnou infrastrukturu</w:t>
      </w:r>
      <w:r w:rsidRPr="006101CE">
        <w:t>]</w:t>
      </w:r>
      <w:r w:rsidR="00F442B2">
        <w:t>.</w:t>
      </w:r>
    </w:p>
    <w:p w14:paraId="62312343" w14:textId="6A85EB3C" w:rsidR="00340D66" w:rsidRDefault="006101CE" w:rsidP="00CB0A15">
      <w:pPr>
        <w:pStyle w:val="Nadpis2"/>
      </w:pPr>
      <w:r w:rsidRPr="006101CE">
        <w:t>Investiční záměr</w:t>
      </w:r>
      <w:r>
        <w:t xml:space="preserve"> svou definicí odpovídá definici Investičního záměru v čl. 1 odst. 2 Zásad.</w:t>
      </w:r>
    </w:p>
    <w:p w14:paraId="2E9E42ED" w14:textId="7AE30928" w:rsidR="006101CE" w:rsidRDefault="006101CE" w:rsidP="00CB0A15">
      <w:pPr>
        <w:pStyle w:val="Nadpis2"/>
      </w:pPr>
      <w:r>
        <w:t>Umístění a základní informace o Investičním záměru jsou specifikovány, alespoň zjednodušeně, v </w:t>
      </w:r>
      <w:r w:rsidRPr="006101CE">
        <w:rPr>
          <w:highlight w:val="cyan"/>
        </w:rPr>
        <w:t>situačním výkresu</w:t>
      </w:r>
      <w:r>
        <w:t xml:space="preserve">, který tvoří přílohu </w:t>
      </w:r>
      <w:r w:rsidRPr="00205034">
        <w:rPr>
          <w:highlight w:val="green"/>
        </w:rPr>
        <w:t>č. 1</w:t>
      </w:r>
      <w:r>
        <w:t xml:space="preserve"> Smlouvy.</w:t>
      </w:r>
    </w:p>
    <w:p w14:paraId="12E830D6" w14:textId="22036845" w:rsidR="006101CE" w:rsidRDefault="004D1C98" w:rsidP="00CB0A15">
      <w:pPr>
        <w:pStyle w:val="Nadpis1"/>
      </w:pPr>
      <w:r>
        <w:t>PŘEDMĚT SMLOUVY</w:t>
      </w:r>
    </w:p>
    <w:p w14:paraId="4F21DA69" w14:textId="4A55002B" w:rsidR="0069389B" w:rsidRDefault="00B07B5F" w:rsidP="00CB0A15">
      <w:pPr>
        <w:pStyle w:val="Nadpis2"/>
      </w:pPr>
      <w:r>
        <w:t>Předmětem Smlouvy je</w:t>
      </w:r>
      <w:r w:rsidR="0069389B">
        <w:t>:</w:t>
      </w:r>
    </w:p>
    <w:p w14:paraId="77C3ECEA" w14:textId="72FD44B5" w:rsidR="00B07B5F" w:rsidRPr="00B07B5F" w:rsidRDefault="00B07B5F" w:rsidP="0069389B">
      <w:pPr>
        <w:pStyle w:val="Nadpis3"/>
      </w:pPr>
      <w:r>
        <w:t xml:space="preserve">závazek Investora poskytnout </w:t>
      </w:r>
      <w:r w:rsidR="0055683E">
        <w:t>Obci</w:t>
      </w:r>
      <w:r>
        <w:t xml:space="preserve"> </w:t>
      </w:r>
      <w:r w:rsidR="0069389B">
        <w:t>I</w:t>
      </w:r>
      <w:r>
        <w:t>nvestiční příspěvek definovaný v čl. I. odst. 3 Zásad</w:t>
      </w:r>
      <w:r w:rsidR="0069389B">
        <w:t xml:space="preserve"> </w:t>
      </w:r>
      <w:r>
        <w:t xml:space="preserve">za účelem pokrytí nákladů na novou </w:t>
      </w:r>
      <w:r w:rsidR="0069389B">
        <w:t>V</w:t>
      </w:r>
      <w:r>
        <w:t>eřejnou infrastrukturu</w:t>
      </w:r>
      <w:r w:rsidR="0069389B">
        <w:t>, údržbu či opravu stávající Veřejné infrastruktury nebo Veřejnou službu, způsobené realizací Investičního záměru</w:t>
      </w:r>
      <w:r w:rsidR="00F9203C">
        <w:t>;</w:t>
      </w:r>
    </w:p>
    <w:p w14:paraId="6CC0F466" w14:textId="4CEBD142" w:rsidR="004D1C98" w:rsidRDefault="004D1C98" w:rsidP="0069389B">
      <w:pPr>
        <w:pStyle w:val="Nadpis3"/>
      </w:pPr>
      <w:r w:rsidRPr="004D1C98">
        <w:t xml:space="preserve">závazek </w:t>
      </w:r>
      <w:r w:rsidR="0055683E">
        <w:t>Obce</w:t>
      </w:r>
      <w:r w:rsidRPr="004D1C98">
        <w:t xml:space="preserve"> poskytnout Investorovi v rámci </w:t>
      </w:r>
      <w:r w:rsidRPr="004D1C98">
        <w:rPr>
          <w:u w:val="single"/>
        </w:rPr>
        <w:t>samostatné</w:t>
      </w:r>
      <w:r w:rsidRPr="004D1C98">
        <w:t xml:space="preserve"> působnosti nezbytnou součinnost s umístěním Investičního záměru</w:t>
      </w:r>
      <w:r w:rsidR="000B4686">
        <w:t>;</w:t>
      </w:r>
    </w:p>
    <w:p w14:paraId="63F1BD2C" w14:textId="5A203B58" w:rsidR="00214F96" w:rsidRPr="00045D0D" w:rsidRDefault="00214F96" w:rsidP="0069389B">
      <w:pPr>
        <w:pStyle w:val="Nadpis3"/>
        <w:rPr>
          <w:highlight w:val="yellow"/>
        </w:rPr>
      </w:pPr>
      <w:r w:rsidRPr="00045D0D">
        <w:rPr>
          <w:highlight w:val="yellow"/>
        </w:rPr>
        <w:t xml:space="preserve">závazek Investora v rámci Investičního záměru realizovat Adaptační opatření ve smyslu čl. I. odst. 18. Zásad. </w:t>
      </w:r>
      <w:r w:rsidR="00712F0A" w:rsidRPr="00045D0D">
        <w:rPr>
          <w:highlight w:val="yellow"/>
        </w:rPr>
        <w:t xml:space="preserve">Parametry Adaptačních opatření jsou specifikovány v příloze č. </w:t>
      </w:r>
      <w:r w:rsidR="00205034" w:rsidRPr="00045D0D">
        <w:rPr>
          <w:highlight w:val="yellow"/>
        </w:rPr>
        <w:t>2</w:t>
      </w:r>
      <w:r w:rsidR="00712F0A" w:rsidRPr="00045D0D">
        <w:rPr>
          <w:highlight w:val="yellow"/>
        </w:rPr>
        <w:t xml:space="preserve"> Smlouvy.</w:t>
      </w:r>
    </w:p>
    <w:p w14:paraId="08000396" w14:textId="503B7BC9" w:rsidR="004D1C98" w:rsidRDefault="007A7501" w:rsidP="00CB0A15">
      <w:pPr>
        <w:pStyle w:val="Nadpis1"/>
      </w:pPr>
      <w:r>
        <w:t>INVESTIČNÍ PŘÍSPĚVEK</w:t>
      </w:r>
    </w:p>
    <w:p w14:paraId="3E13B2C9" w14:textId="1714A20B" w:rsidR="00F9203C" w:rsidRDefault="00F9203C" w:rsidP="00CB0A15">
      <w:pPr>
        <w:pStyle w:val="Nadpis2"/>
      </w:pPr>
      <w:r>
        <w:t xml:space="preserve">Investor se zavazuje </w:t>
      </w:r>
      <w:r w:rsidR="0055683E">
        <w:t>Obci</w:t>
      </w:r>
      <w:r>
        <w:t xml:space="preserve"> poskytnout Investiční příspěvek. Celková hodnota Investičního příspěvku je pro Investiční záměr stanovena na základě </w:t>
      </w:r>
      <w:r w:rsidR="00AB26D9">
        <w:t xml:space="preserve">předběžného odhadu hrubých podlažních ploch Investičního záměru </w:t>
      </w:r>
      <w:r w:rsidR="00AB26D9" w:rsidRPr="007540A8">
        <w:rPr>
          <w:i/>
          <w:iCs/>
        </w:rPr>
        <w:t>(dále jen „</w:t>
      </w:r>
      <w:r w:rsidR="00AB26D9" w:rsidRPr="007540A8">
        <w:rPr>
          <w:b/>
          <w:bCs/>
          <w:i/>
          <w:iCs/>
        </w:rPr>
        <w:t>HPP</w:t>
      </w:r>
      <w:r w:rsidR="00AB26D9" w:rsidRPr="007540A8">
        <w:rPr>
          <w:i/>
          <w:iCs/>
        </w:rPr>
        <w:t>“)</w:t>
      </w:r>
      <w:r w:rsidR="00AB26D9">
        <w:t xml:space="preserve"> v souladu s čl. III. odst. 3 Zásad jako </w:t>
      </w:r>
      <w:r w:rsidR="00AB26D9" w:rsidRPr="00AB26D9">
        <w:t>částka rovnající se součinu příslušného počtu m</w:t>
      </w:r>
      <w:r w:rsidR="00AB26D9" w:rsidRPr="00E3575D">
        <w:rPr>
          <w:vertAlign w:val="superscript"/>
        </w:rPr>
        <w:t>2</w:t>
      </w:r>
      <w:r w:rsidR="00AB26D9" w:rsidRPr="00AB26D9">
        <w:t xml:space="preserve"> </w:t>
      </w:r>
      <w:r w:rsidR="007540A8">
        <w:t>HPP</w:t>
      </w:r>
      <w:r w:rsidR="00D40049">
        <w:t xml:space="preserve"> </w:t>
      </w:r>
      <w:r w:rsidR="00AB26D9" w:rsidRPr="00AB26D9">
        <w:t xml:space="preserve">a částky </w:t>
      </w:r>
      <w:bookmarkStart w:id="3" w:name="_Hlk176872141"/>
      <w:r w:rsidR="00226C13">
        <w:rPr>
          <w:rFonts w:cs="Arial"/>
        </w:rPr>
        <w:t>[</w:t>
      </w:r>
      <w:r w:rsidR="00226C13">
        <w:rPr>
          <w:highlight w:val="yellow"/>
        </w:rPr>
        <w:t>bude doplněno</w:t>
      </w:r>
      <w:r w:rsidR="00226C13">
        <w:rPr>
          <w:rFonts w:cs="Arial"/>
          <w:highlight w:val="yellow"/>
        </w:rPr>
        <w:t>]</w:t>
      </w:r>
      <w:bookmarkEnd w:id="3"/>
      <w:r w:rsidR="00AB26D9" w:rsidRPr="00AB26D9">
        <w:t xml:space="preserve"> Kč</w:t>
      </w:r>
      <w:r w:rsidR="00A5389A">
        <w:t>,</w:t>
      </w:r>
      <w:r w:rsidR="0069546A">
        <w:t xml:space="preserve"> a činí v celkové výši částku </w:t>
      </w:r>
      <w:r w:rsidR="00CB42DA" w:rsidRPr="00CB42DA">
        <w:t>[</w:t>
      </w:r>
      <w:r w:rsidR="00CB42DA" w:rsidRPr="00CB42DA">
        <w:rPr>
          <w:highlight w:val="yellow"/>
        </w:rPr>
        <w:t>bude doplněno</w:t>
      </w:r>
      <w:r w:rsidR="00CB42DA" w:rsidRPr="00CB42DA">
        <w:t>]</w:t>
      </w:r>
      <w:r w:rsidR="00CB42DA">
        <w:t xml:space="preserve"> </w:t>
      </w:r>
      <w:r w:rsidR="0069546A">
        <w:t xml:space="preserve">Kč (slovy: </w:t>
      </w:r>
      <w:r w:rsidR="00CB42DA" w:rsidRPr="00CB42DA">
        <w:t>[</w:t>
      </w:r>
      <w:r w:rsidR="00CB42DA" w:rsidRPr="00CB42DA">
        <w:rPr>
          <w:highlight w:val="yellow"/>
        </w:rPr>
        <w:t>bude doplněno</w:t>
      </w:r>
      <w:r w:rsidR="00CB42DA" w:rsidRPr="00CB42DA">
        <w:t>]</w:t>
      </w:r>
      <w:r w:rsidR="0069546A">
        <w:t xml:space="preserve"> korun českých).</w:t>
      </w:r>
    </w:p>
    <w:p w14:paraId="1F61452B" w14:textId="531AFA8D" w:rsidR="00DF3544" w:rsidRDefault="0069546A" w:rsidP="00070E6F">
      <w:pPr>
        <w:pStyle w:val="Nadpis2"/>
      </w:pPr>
      <w:r>
        <w:t>Konečná výše Investičního příspěvku bude vypočtena dle výměry nově vzniklých HPP daného Investičního záměru,</w:t>
      </w:r>
      <w:r w:rsidR="00070E6F">
        <w:t xml:space="preserve"> </w:t>
      </w:r>
      <w:r>
        <w:t>ke kterému bylo vydáno pravomocné povolení</w:t>
      </w:r>
      <w:r w:rsidR="00070E6F">
        <w:t>.</w:t>
      </w:r>
    </w:p>
    <w:p w14:paraId="73AA860A" w14:textId="2C9243D8" w:rsidR="00886458" w:rsidRPr="00A8649A" w:rsidRDefault="00DF3544" w:rsidP="00CB0A15">
      <w:pPr>
        <w:pStyle w:val="Nadpis2"/>
      </w:pPr>
      <w:r w:rsidRPr="00A8649A">
        <w:t xml:space="preserve">V případě, že </w:t>
      </w:r>
      <w:r w:rsidR="00A44B6E">
        <w:t>povolení</w:t>
      </w:r>
      <w:r w:rsidRPr="00A8649A">
        <w:t xml:space="preserve"> Investičního záměru umožňuje určité rozmezí HPP, bude konečná výše</w:t>
      </w:r>
      <w:r w:rsidR="006852EC" w:rsidRPr="00A8649A">
        <w:t xml:space="preserve"> Investičního příspěvku vypočtena z maximálního rozsahu HPP, kterou rozhodnutí o umístění Investičního záměru umožňuje.</w:t>
      </w:r>
    </w:p>
    <w:p w14:paraId="4E6EB6EC" w14:textId="5871A7EE" w:rsidR="006852EC" w:rsidRDefault="006852EC" w:rsidP="00CB0A15">
      <w:pPr>
        <w:pStyle w:val="Nadpis2"/>
      </w:pPr>
      <w:bookmarkStart w:id="4" w:name="_Hlk175929139"/>
      <w:r>
        <w:t xml:space="preserve">Investiční příspěvek je splatný do konce třetího měsíce následujícího po kalendářním měsíci, v němž nabylo právní moci povolení </w:t>
      </w:r>
      <w:r w:rsidR="007227A2" w:rsidRPr="007227A2">
        <w:t xml:space="preserve">Investičního záměru ve smyslu § 195 zákona č. 283/2021 Sb., stavební zákon, ve znění pozdějších předpisů </w:t>
      </w:r>
      <w:r w:rsidR="007227A2" w:rsidRPr="007227A2">
        <w:rPr>
          <w:i/>
          <w:iCs/>
        </w:rPr>
        <w:t>(dále jen „</w:t>
      </w:r>
      <w:r w:rsidR="007227A2" w:rsidRPr="007227A2">
        <w:rPr>
          <w:b/>
          <w:bCs/>
          <w:i/>
          <w:iCs/>
        </w:rPr>
        <w:t>NSZ</w:t>
      </w:r>
      <w:r w:rsidR="007227A2" w:rsidRPr="007227A2">
        <w:rPr>
          <w:i/>
          <w:iCs/>
        </w:rPr>
        <w:t>“)</w:t>
      </w:r>
      <w:r w:rsidR="007227A2" w:rsidRPr="007227A2">
        <w:t xml:space="preserve"> </w:t>
      </w:r>
      <w:r>
        <w:t>umožňující Investorovi započít realizaci Investičního záměru</w:t>
      </w:r>
      <w:r w:rsidR="00A94DEB">
        <w:t>.</w:t>
      </w:r>
    </w:p>
    <w:bookmarkEnd w:id="4"/>
    <w:p w14:paraId="6A62BBE7" w14:textId="0A803FE1" w:rsidR="001100F4" w:rsidRDefault="00600C8D" w:rsidP="00CB0A15">
      <w:pPr>
        <w:pStyle w:val="Nadpis2"/>
      </w:pPr>
      <w:r>
        <w:t>Investor uhradí Investiční příspěvek v</w:t>
      </w:r>
      <w:r w:rsidR="00D91707">
        <w:t xml:space="preserve">e lhůtě splatnosti v plné výši bezhotovostním převodem na bankovní účet </w:t>
      </w:r>
      <w:r w:rsidR="0055683E">
        <w:t>Obce</w:t>
      </w:r>
      <w:r w:rsidR="00D91707">
        <w:t xml:space="preserve">. Pokyny k platbě budou </w:t>
      </w:r>
      <w:r w:rsidR="00883382">
        <w:t>Obcí</w:t>
      </w:r>
      <w:r w:rsidR="00D91707">
        <w:t xml:space="preserve"> zaslány bez zbytečného odkladu po informování </w:t>
      </w:r>
      <w:r w:rsidR="0055683E">
        <w:t>Obce</w:t>
      </w:r>
      <w:r w:rsidR="00D91707">
        <w:t xml:space="preserve"> Investorem, že došlo k nabytí právní moci povolení</w:t>
      </w:r>
      <w:r w:rsidR="008F2688">
        <w:t>.</w:t>
      </w:r>
    </w:p>
    <w:p w14:paraId="6E857BD6" w14:textId="1D2F7D9D" w:rsidR="0081678B" w:rsidRPr="0081678B" w:rsidRDefault="0081678B" w:rsidP="007A7501">
      <w:pPr>
        <w:pStyle w:val="Nadpis1"/>
      </w:pPr>
      <w:r w:rsidRPr="0081678B">
        <w:lastRenderedPageBreak/>
        <w:t>JINÉ ZÁVAZKY INVESTORA</w:t>
      </w:r>
    </w:p>
    <w:p w14:paraId="41F2BAE4" w14:textId="60FC1119" w:rsidR="0081678B" w:rsidRDefault="00CB0A15" w:rsidP="00CB0A15">
      <w:pPr>
        <w:pStyle w:val="Nadpis2"/>
      </w:pPr>
      <w:r>
        <w:t xml:space="preserve">V případě, že se Investor rozhodne realizovat Investiční záměr, zavazuje se jej realizovat v souladu s odst. </w:t>
      </w:r>
      <w:r>
        <w:fldChar w:fldCharType="begin"/>
      </w:r>
      <w:r>
        <w:instrText xml:space="preserve"> REF _Ref104365423 \r \h </w:instrText>
      </w:r>
      <w:r>
        <w:fldChar w:fldCharType="separate"/>
      </w:r>
      <w:r w:rsidR="00FD6879">
        <w:t>1.2</w:t>
      </w:r>
      <w:r>
        <w:fldChar w:fldCharType="end"/>
      </w:r>
      <w:r>
        <w:t xml:space="preserve"> Smlouvy</w:t>
      </w:r>
      <w:r w:rsidR="002C2A9E" w:rsidRPr="002C2A9E">
        <w:t xml:space="preserve"> a dle příslušných termínů uvedených v harmonogramu realizace Investičního záměru. Harmonogram tvoří přílohu </w:t>
      </w:r>
      <w:r w:rsidR="002C2A9E" w:rsidRPr="002C2A9E">
        <w:rPr>
          <w:highlight w:val="green"/>
        </w:rPr>
        <w:t xml:space="preserve">č. </w:t>
      </w:r>
      <w:r w:rsidR="007227A2">
        <w:rPr>
          <w:highlight w:val="green"/>
        </w:rPr>
        <w:t>3</w:t>
      </w:r>
      <w:r w:rsidR="002C2A9E" w:rsidRPr="002C2A9E">
        <w:t xml:space="preserve"> Smlouvy.</w:t>
      </w:r>
    </w:p>
    <w:p w14:paraId="3B853DD5" w14:textId="67CFA08A" w:rsidR="00DB6E51" w:rsidRDefault="00DB6E51" w:rsidP="00DB6E51">
      <w:pPr>
        <w:pStyle w:val="Nadpis2"/>
      </w:pPr>
      <w:r>
        <w:t xml:space="preserve">V případě úmyslu Investora převést svá práva a povinnosti k Investičnímu záměru na jinou osobu, je Investor povinen </w:t>
      </w:r>
      <w:r w:rsidR="009A3170">
        <w:t>Obec</w:t>
      </w:r>
      <w:r>
        <w:t xml:space="preserve"> o tomto svém úmyslu bez zbytečného odkladu a písemně informovat. V případě, že se Investor rozhodne svůj záměr nerealizovat a převede svůj Investiční záměr jako celek ve stejné podobě na třetí osobu, zavazuje se zajistit postoupení všech práv a povinností vyplývajících ze Smlouvy na třetí osobu, </w:t>
      </w:r>
      <w:r w:rsidR="009A3170">
        <w:t>Obec</w:t>
      </w:r>
      <w:r>
        <w:t xml:space="preserve"> k tomu poskytne nezbytnou součinnost. Smluvní strany prohlašují, že povaha Smlouvy postoupení nevylučuje, a souhlasí s ním. Pro případ, že by převod práv a povinností ze Smlouvy nebyl možný dle § 18</w:t>
      </w:r>
      <w:r w:rsidR="00762FA3">
        <w:t>9</w:t>
      </w:r>
      <w:r>
        <w:t xml:space="preserve">5 a násl. </w:t>
      </w:r>
      <w:r w:rsidR="00F941E0">
        <w:t>o</w:t>
      </w:r>
      <w:r>
        <w:t>bčanského zákoníku, zavazují se Smluvní strany do 3 měsíců od doručení výzvy některé z nich uzavřít dodatek ke Smlouvě, jehož předmětem bude převod práv a povinností ze Smlouvy.</w:t>
      </w:r>
    </w:p>
    <w:p w14:paraId="5D6DA931" w14:textId="58387FA5" w:rsidR="00DB6E51" w:rsidRDefault="00DB6E51" w:rsidP="00DB6E51">
      <w:pPr>
        <w:pStyle w:val="Nadpis2"/>
      </w:pPr>
      <w:bookmarkStart w:id="5" w:name="_Ref104218866"/>
      <w:r>
        <w:t xml:space="preserve">Investor se zavazuje k tomu, že smluvně zaváže své právní nástupce k převzetí práv a povinností plynoucích ze Smlouvy. Pokud Investor tuto povinnost poruší, odpovídá </w:t>
      </w:r>
      <w:r w:rsidR="0055683E">
        <w:t>Obci</w:t>
      </w:r>
      <w:r>
        <w:t xml:space="preserve"> za škodu, kterou tím způsobí.</w:t>
      </w:r>
      <w:bookmarkEnd w:id="5"/>
    </w:p>
    <w:p w14:paraId="4A04C2EE" w14:textId="78B0760D" w:rsidR="00DB6E51" w:rsidRDefault="00DB6E51" w:rsidP="00DB6E51">
      <w:pPr>
        <w:pStyle w:val="Nadpis2"/>
      </w:pPr>
      <w:bookmarkStart w:id="6" w:name="_Ref104384751"/>
      <w:r>
        <w:t xml:space="preserve">Investor se zavazuje k tomu, že své právní zástupce bude prokazatelně informovat o existenci a obsahu Smlouvy ve znění všech dodatků, a dále se Investor zavazuje, že ve smyslu odst. </w:t>
      </w:r>
      <w:r>
        <w:fldChar w:fldCharType="begin"/>
      </w:r>
      <w:r>
        <w:instrText xml:space="preserve"> REF _Ref104218866 \r \h </w:instrText>
      </w:r>
      <w:r>
        <w:fldChar w:fldCharType="separate"/>
      </w:r>
      <w:r w:rsidR="00DE40BF">
        <w:t>4.3</w:t>
      </w:r>
      <w:r>
        <w:fldChar w:fldCharType="end"/>
      </w:r>
      <w:r>
        <w:t xml:space="preserve"> Smlouvy stejným způsobem zaváže i své případné právní nástupce, že i tito budou mít povinnost o existenci a obsahu Smlouvy ve znění všech dodatků informovat své případné právní nástupce.</w:t>
      </w:r>
      <w:bookmarkEnd w:id="6"/>
    </w:p>
    <w:p w14:paraId="043806EE" w14:textId="7C86DA0B" w:rsidR="00F016EF" w:rsidRDefault="004C22E3" w:rsidP="00CB0A15">
      <w:pPr>
        <w:pStyle w:val="Nadpis1"/>
      </w:pPr>
      <w:r>
        <w:t xml:space="preserve">ZÁVAZKY </w:t>
      </w:r>
      <w:r w:rsidR="0055683E">
        <w:t>OBCE</w:t>
      </w:r>
    </w:p>
    <w:p w14:paraId="17264861" w14:textId="0041126A" w:rsidR="00ED42B6" w:rsidRDefault="009A3170" w:rsidP="00CB0A15">
      <w:pPr>
        <w:pStyle w:val="Nadpis2"/>
      </w:pPr>
      <w:bookmarkStart w:id="7" w:name="_Ref104370515"/>
      <w:r>
        <w:t>Obec</w:t>
      </w:r>
      <w:r w:rsidR="00ED42B6">
        <w:t xml:space="preserve"> se zavazuje poskytnout Investorovi nezbytnou součinnost v rámci své </w:t>
      </w:r>
      <w:r w:rsidR="00ED42B6" w:rsidRPr="00ED42B6">
        <w:rPr>
          <w:u w:val="single"/>
        </w:rPr>
        <w:t>samostatné</w:t>
      </w:r>
      <w:r w:rsidR="00ED42B6">
        <w:t xml:space="preserve"> působnosti pro realizaci Investičního záměru ve smyslu čl. V. odst. 2 Zásad, a to</w:t>
      </w:r>
      <w:r w:rsidR="008B6AE5">
        <w:t xml:space="preserve"> tak</w:t>
      </w:r>
      <w:r w:rsidR="00ED42B6">
        <w:t>, že poskytne v samostatné působnosti všechny nezbytné souhlasy v příslušných správních řízeních potřebných k řádné realizaci Investičního záměru, a to vždy na základě předchozí výzvy Investora</w:t>
      </w:r>
      <w:r w:rsidR="00865BF2">
        <w:t xml:space="preserve"> k poskytnutí konkrétní součinnosti. Pokud s</w:t>
      </w:r>
      <w:r w:rsidR="008B6AE5">
        <w:t>e</w:t>
      </w:r>
      <w:r w:rsidR="00865BF2">
        <w:t xml:space="preserve"> Smluvní strany nedohodnou jinak, poskytne </w:t>
      </w:r>
      <w:r>
        <w:t>Obec</w:t>
      </w:r>
      <w:r w:rsidR="00865BF2">
        <w:t xml:space="preserve"> konkrétní součinnost do patnácti (15) pracovních dnů od doručení výzvy k poskytnutí konkrétní součinnosti. Pro vyloučení jakýchkoliv pochybností Smluvní strany prohlašují, že jsou si vědomi skutečnosti, že </w:t>
      </w:r>
      <w:r>
        <w:t>Obec</w:t>
      </w:r>
      <w:r w:rsidR="00865BF2">
        <w:t xml:space="preserve"> není v rámci poskytnuté nezbytné součinnosti oprávněn</w:t>
      </w:r>
      <w:r w:rsidR="00E93E86">
        <w:t>a</w:t>
      </w:r>
      <w:r w:rsidR="00865BF2">
        <w:t xml:space="preserve"> zasahovat do výkonu státní správy.</w:t>
      </w:r>
      <w:bookmarkEnd w:id="7"/>
    </w:p>
    <w:p w14:paraId="0FC19107" w14:textId="6E7990A4" w:rsidR="009E6A34" w:rsidRDefault="009A3170" w:rsidP="00CB0A15">
      <w:pPr>
        <w:pStyle w:val="Nadpis2"/>
      </w:pPr>
      <w:r>
        <w:t>Obec</w:t>
      </w:r>
      <w:r w:rsidR="009E6A34">
        <w:t xml:space="preserve"> není povinn</w:t>
      </w:r>
      <w:r w:rsidR="000568D3">
        <w:t>a</w:t>
      </w:r>
      <w:r w:rsidR="009E6A34">
        <w:t xml:space="preserve"> poskytnout nezbytnou součinnost uvedenou v odst. </w:t>
      </w:r>
      <w:r w:rsidR="009E6A34">
        <w:fldChar w:fldCharType="begin"/>
      </w:r>
      <w:r w:rsidR="009E6A34">
        <w:instrText xml:space="preserve"> REF _Ref104370515 \r \h </w:instrText>
      </w:r>
      <w:r w:rsidR="009E6A34">
        <w:fldChar w:fldCharType="separate"/>
      </w:r>
      <w:r w:rsidR="00DE40BF">
        <w:t>5.1</w:t>
      </w:r>
      <w:r w:rsidR="009E6A34">
        <w:fldChar w:fldCharType="end"/>
      </w:r>
      <w:r w:rsidR="00A92EB7">
        <w:fldChar w:fldCharType="begin"/>
      </w:r>
      <w:r w:rsidR="00A92EB7">
        <w:instrText xml:space="preserve"> REF _Ref104371335 \r \h </w:instrText>
      </w:r>
      <w:r w:rsidR="00A92EB7">
        <w:fldChar w:fldCharType="separate"/>
      </w:r>
      <w:r w:rsidR="00A92EB7">
        <w:fldChar w:fldCharType="end"/>
      </w:r>
      <w:r w:rsidR="00E91DEB">
        <w:t xml:space="preserve"> </w:t>
      </w:r>
      <w:r w:rsidR="009E6A34">
        <w:t xml:space="preserve">Smlouvy, a to za předpokladu, že bude zjištěno, že Investiční záměr může mít negativní dopady </w:t>
      </w:r>
      <w:r w:rsidR="007D00D8">
        <w:t xml:space="preserve">na životní prostředí a veřejné zdraví ve smyslu zákona č. 100/2001 Sb., o posuzování vlivů na životní prostředí, ve znění pozdějších předpisů, </w:t>
      </w:r>
      <w:r w:rsidR="00E91DEB">
        <w:t xml:space="preserve">nebo pokud Investor nebude plnit své závazky vůči </w:t>
      </w:r>
      <w:r w:rsidR="0055683E">
        <w:t>Obci</w:t>
      </w:r>
      <w:r w:rsidR="00E93E86" w:rsidRPr="00E93E86">
        <w:t xml:space="preserve"> nebo pokud by poskytnutí součinnosti či plnění závazků bylo v rozporu s právními předpisy nebo by byla poskytnutá součinnost v rozporu s vynuceným jednáním na základě výsledku místního referenda.</w:t>
      </w:r>
    </w:p>
    <w:p w14:paraId="294BA825" w14:textId="010C1DF7" w:rsidR="00712F0A" w:rsidRDefault="009A3170" w:rsidP="00712F0A">
      <w:pPr>
        <w:pStyle w:val="Nadpis2"/>
      </w:pPr>
      <w:r>
        <w:t>Obec</w:t>
      </w:r>
      <w:r w:rsidR="00712F0A">
        <w:t xml:space="preserve"> se zavazuje ověřit realizaci Adaptačních opatření provedených Investorem</w:t>
      </w:r>
      <w:r w:rsidR="0018122C">
        <w:t xml:space="preserve"> specifikovaných v příloze </w:t>
      </w:r>
      <w:r w:rsidR="0018122C" w:rsidRPr="00205034">
        <w:rPr>
          <w:highlight w:val="green"/>
        </w:rPr>
        <w:t xml:space="preserve">č. </w:t>
      </w:r>
      <w:r w:rsidR="00205034" w:rsidRPr="00205034">
        <w:rPr>
          <w:highlight w:val="green"/>
        </w:rPr>
        <w:t>2</w:t>
      </w:r>
      <w:r w:rsidR="0018122C">
        <w:t xml:space="preserve"> Smlouvy, a to ve lhůtě 3 měsíců od </w:t>
      </w:r>
      <w:r w:rsidR="0018122C" w:rsidRPr="0018122C">
        <w:t>konce třetího měsíce následujícího po kalendářním měsíci, v němž nabylo právní moci</w:t>
      </w:r>
      <w:r w:rsidR="0018122C">
        <w:t xml:space="preserve"> kolaudační rozhodnutí pro Investiční záměr, nebo jeho část, jejíž součástí je Adaptační opatření.</w:t>
      </w:r>
    </w:p>
    <w:p w14:paraId="468B88DB" w14:textId="61D8CE8B" w:rsidR="0018122C" w:rsidRDefault="004874F5" w:rsidP="00712F0A">
      <w:pPr>
        <w:pStyle w:val="Nadpis2"/>
      </w:pPr>
      <w:r>
        <w:lastRenderedPageBreak/>
        <w:t xml:space="preserve">V případě, že Investorem realizované Adaptační opatření odpovídá podmínkám uvedeným ve Smlouvě, </w:t>
      </w:r>
      <w:r w:rsidR="009A3170">
        <w:t>Obec</w:t>
      </w:r>
      <w:r>
        <w:t xml:space="preserve"> se zavazuje, že Investorovi poskytne částku </w:t>
      </w:r>
      <w:r w:rsidR="00205034">
        <w:t>odpovídající slevě z Investičního příspěvku, která činí (</w:t>
      </w:r>
      <w:r w:rsidR="00205034" w:rsidRPr="00205034">
        <w:rPr>
          <w:highlight w:val="yellow"/>
        </w:rPr>
        <w:t>doplnit částku</w:t>
      </w:r>
      <w:r w:rsidR="00205034">
        <w:t>) Kč (slovy: (</w:t>
      </w:r>
      <w:r w:rsidR="00205034" w:rsidRPr="00205034">
        <w:rPr>
          <w:highlight w:val="yellow"/>
        </w:rPr>
        <w:t>doplnit částku slovy</w:t>
      </w:r>
      <w:r w:rsidR="00205034">
        <w:t>) korun českých).</w:t>
      </w:r>
    </w:p>
    <w:p w14:paraId="4305BFFB" w14:textId="66153B15" w:rsidR="00886458" w:rsidRDefault="000C5925" w:rsidP="00CB0A15">
      <w:pPr>
        <w:pStyle w:val="Nadpis1"/>
      </w:pPr>
      <w:r>
        <w:t>OSTATNÍ UJEDNÁNÍ</w:t>
      </w:r>
    </w:p>
    <w:p w14:paraId="57888A57" w14:textId="3B9E1663" w:rsidR="000C5925" w:rsidRDefault="000C5925" w:rsidP="000C5925">
      <w:pPr>
        <w:pStyle w:val="Nadpis2"/>
      </w:pPr>
      <w:r>
        <w:t>Jako záruku k zajištění svých závazků ze Smlouvy Investor ve lhůtě (</w:t>
      </w:r>
      <w:r w:rsidRPr="003113F9">
        <w:rPr>
          <w:highlight w:val="yellow"/>
        </w:rPr>
        <w:t>doplnit</w:t>
      </w:r>
      <w:r>
        <w:t>) ode dne uzavření Smlouvy:</w:t>
      </w:r>
    </w:p>
    <w:p w14:paraId="3ACDB359" w14:textId="50C5C42C" w:rsidR="000C5925" w:rsidRDefault="000C5925" w:rsidP="000C5925">
      <w:pPr>
        <w:pStyle w:val="Nadpis3"/>
      </w:pPr>
      <w:r>
        <w:t xml:space="preserve">uzavře a zřídí ve prospěch </w:t>
      </w:r>
      <w:r w:rsidR="0055683E">
        <w:t>Obce</w:t>
      </w:r>
      <w:r>
        <w:t xml:space="preserve"> bankovní záruku ve smyslu § 2029 a násl. Občanského zákoníku ve výši Investičního příspěvku, a to v rozsahu a znění předem </w:t>
      </w:r>
      <w:r w:rsidR="00883382">
        <w:t>Obcí</w:t>
      </w:r>
      <w:r>
        <w:t xml:space="preserve"> schválen</w:t>
      </w:r>
      <w:r w:rsidR="00785E25">
        <w:t>é</w:t>
      </w:r>
      <w:r>
        <w:t xml:space="preserve">m, a předloží </w:t>
      </w:r>
      <w:r w:rsidR="0055683E">
        <w:t>Obci</w:t>
      </w:r>
      <w:r>
        <w:t xml:space="preserve"> originál záruční listiny bankovní záruky; nebo</w:t>
      </w:r>
    </w:p>
    <w:p w14:paraId="012BA8DC" w14:textId="398E5D62" w:rsidR="000C5925" w:rsidRDefault="00600E09" w:rsidP="000C5925">
      <w:pPr>
        <w:pStyle w:val="Nadpis3"/>
      </w:pPr>
      <w:r>
        <w:t xml:space="preserve">zřídí ve prospěch </w:t>
      </w:r>
      <w:r w:rsidR="0055683E">
        <w:t>Obce</w:t>
      </w:r>
      <w:r>
        <w:t xml:space="preserve"> zástavní právo k nemovité věci ve smyslu § 1309 a násl. Občanského zákoníku, a to k:</w:t>
      </w:r>
    </w:p>
    <w:p w14:paraId="248743D4" w14:textId="6780B2B6" w:rsidR="00600E09" w:rsidRPr="000C5925" w:rsidRDefault="00600E09" w:rsidP="00600E09">
      <w:pPr>
        <w:ind w:left="709"/>
      </w:pPr>
      <w:r>
        <w:t>(</w:t>
      </w:r>
      <w:r w:rsidRPr="00600E09">
        <w:rPr>
          <w:highlight w:val="yellow"/>
        </w:rPr>
        <w:t>doplnit nemovitou věc, ke které je zástavní právo zřízeno</w:t>
      </w:r>
      <w:r>
        <w:t>)</w:t>
      </w:r>
    </w:p>
    <w:p w14:paraId="55E108E4" w14:textId="25B3C348" w:rsidR="00886458" w:rsidRDefault="00E22C55" w:rsidP="00CB0A15">
      <w:pPr>
        <w:pStyle w:val="Nadpis2"/>
      </w:pPr>
      <w:r>
        <w:t xml:space="preserve">Pro případ, že se Investor ocitne v prodlení s úhradou Investičního příspěvku, sjednávají Smluvní strany smluvní pokutu ve výši </w:t>
      </w:r>
      <w:r w:rsidR="00E07C26">
        <w:rPr>
          <w:highlight w:val="yellow"/>
        </w:rPr>
        <w:t>3</w:t>
      </w:r>
      <w:r w:rsidRPr="00E07C26">
        <w:rPr>
          <w:highlight w:val="yellow"/>
        </w:rPr>
        <w:t>.000 Kč</w:t>
      </w:r>
      <w:r>
        <w:t xml:space="preserve"> za každý den Investorova prodlení s úhradou Investičního příspěvku </w:t>
      </w:r>
      <w:r w:rsidR="0055683E">
        <w:t>Obci</w:t>
      </w:r>
      <w:r>
        <w:t>.</w:t>
      </w:r>
    </w:p>
    <w:p w14:paraId="54AA1013" w14:textId="62507EEA" w:rsidR="00E22C55" w:rsidRDefault="007D5C9D" w:rsidP="00CB0A15">
      <w:pPr>
        <w:pStyle w:val="Nadpis2"/>
      </w:pPr>
      <w:r>
        <w:t xml:space="preserve">Poruší-li Investor svou povinnost informovat své právní nástupce o existenci a obsahu Smlouvy včetně všech jejích dodatků dle odst. </w:t>
      </w:r>
      <w:r w:rsidR="00762FA3">
        <w:rPr>
          <w:highlight w:val="yellow"/>
        </w:rPr>
        <w:fldChar w:fldCharType="begin"/>
      </w:r>
      <w:r w:rsidR="00762FA3">
        <w:instrText xml:space="preserve"> REF _Ref104384751 \r \h </w:instrText>
      </w:r>
      <w:r w:rsidR="00762FA3">
        <w:rPr>
          <w:highlight w:val="yellow"/>
        </w:rPr>
      </w:r>
      <w:r w:rsidR="00762FA3">
        <w:rPr>
          <w:highlight w:val="yellow"/>
        </w:rPr>
        <w:fldChar w:fldCharType="separate"/>
      </w:r>
      <w:r w:rsidR="00FD6879">
        <w:t>4.7</w:t>
      </w:r>
      <w:r w:rsidR="00762FA3">
        <w:rPr>
          <w:highlight w:val="yellow"/>
        </w:rPr>
        <w:fldChar w:fldCharType="end"/>
      </w:r>
      <w:r>
        <w:t xml:space="preserve"> Smlouvy, sjednávají Smluvní strany smluvní pokutu ve výši </w:t>
      </w:r>
      <w:r w:rsidRPr="00E07C26">
        <w:rPr>
          <w:highlight w:val="yellow"/>
        </w:rPr>
        <w:t>10.000 Kč</w:t>
      </w:r>
      <w:r>
        <w:t xml:space="preserve"> </w:t>
      </w:r>
      <w:r w:rsidR="007A02FA">
        <w:t>za každé jednotlivé porušení této informační povinnosti.</w:t>
      </w:r>
    </w:p>
    <w:p w14:paraId="23E9BBD1" w14:textId="5D55B4C6" w:rsidR="00E07C26" w:rsidRDefault="00E07C26" w:rsidP="00E07C26">
      <w:pPr>
        <w:pStyle w:val="Nadpis2"/>
      </w:pPr>
      <w:r>
        <w:t xml:space="preserve">V případě prodlení Obce s poskytnutím konkrétního součinného úkonu v rozporu s odst. </w:t>
      </w:r>
      <w:r>
        <w:fldChar w:fldCharType="begin"/>
      </w:r>
      <w:r>
        <w:instrText xml:space="preserve"> REF _Ref104370515 \r \h </w:instrText>
      </w:r>
      <w:r>
        <w:fldChar w:fldCharType="separate"/>
      </w:r>
      <w:r>
        <w:t>5.1</w:t>
      </w:r>
      <w:r>
        <w:fldChar w:fldCharType="end"/>
      </w:r>
      <w:r>
        <w:t xml:space="preserve"> Smlouvy, pakliže součinnost nebyla poskytnuta z důvodu uvedeného ve Smlouvě, sjednávají Smluvní strany smluvní pokutu ve výši </w:t>
      </w:r>
      <w:r w:rsidRPr="00EE5804">
        <w:rPr>
          <w:highlight w:val="yellow"/>
        </w:rPr>
        <w:t>1.000 Kč</w:t>
      </w:r>
      <w:r>
        <w:t xml:space="preserve"> za každý den prodlení. </w:t>
      </w:r>
    </w:p>
    <w:p w14:paraId="5373882C" w14:textId="362458CB" w:rsidR="007A02FA" w:rsidRDefault="007A02FA" w:rsidP="00CB0A15">
      <w:pPr>
        <w:pStyle w:val="Nadpis2"/>
      </w:pPr>
      <w:r>
        <w:t xml:space="preserve">Zaplacením smluvní pokuty nezaniká právo </w:t>
      </w:r>
      <w:r w:rsidR="0055683E">
        <w:t>Obce</w:t>
      </w:r>
      <w:r>
        <w:t xml:space="preserve"> na náhradu případné škody, kterou Investor způsobil porušením své povinnosti ze Smlouvy.</w:t>
      </w:r>
    </w:p>
    <w:p w14:paraId="2C6D389F" w14:textId="27EA05B1" w:rsidR="00CE4209" w:rsidRDefault="009A3170" w:rsidP="00CB0A15">
      <w:pPr>
        <w:pStyle w:val="Nadpis2"/>
      </w:pPr>
      <w:r>
        <w:t>Obec</w:t>
      </w:r>
      <w:r w:rsidR="00CE4209">
        <w:t xml:space="preserve"> si vyhrazuje právo na úhradu smluvní pokuty formou zápočtu vůči kterékoli </w:t>
      </w:r>
      <w:r w:rsidR="00A010FF">
        <w:t xml:space="preserve">splatné pohledávce Investora vůči </w:t>
      </w:r>
      <w:r w:rsidR="0055683E">
        <w:t>Obci</w:t>
      </w:r>
      <w:r w:rsidR="00A010FF">
        <w:t>.</w:t>
      </w:r>
    </w:p>
    <w:p w14:paraId="57BAD6E8" w14:textId="630374B5" w:rsidR="007A02FA" w:rsidRDefault="007A02FA" w:rsidP="00CB0A15">
      <w:pPr>
        <w:pStyle w:val="Nadpis2"/>
      </w:pPr>
      <w:r>
        <w:t xml:space="preserve">Smluvní strany se dohodly, že pokud nebude ve Smlouvě výslovně uvedeno jinak, pak jejich vzájemné oprávněné peněžité pohledávky a závazky ze Smlouvy vyplývající, jsou vždy splatné nejpozději do 14 kalendářních dní </w:t>
      </w:r>
      <w:r w:rsidR="00CE4209">
        <w:t>o</w:t>
      </w:r>
      <w:r>
        <w:t>d doručení jejich písemného vyúčtování povinné Smluvní straně.</w:t>
      </w:r>
    </w:p>
    <w:p w14:paraId="6919F49E" w14:textId="70296EB8" w:rsidR="00E5528B" w:rsidRDefault="00E5528B" w:rsidP="00CB0A15">
      <w:pPr>
        <w:pStyle w:val="Nadpis1"/>
      </w:pPr>
      <w:r>
        <w:t>ZÁVĚREČNÁ USTANOVENÍ</w:t>
      </w:r>
    </w:p>
    <w:p w14:paraId="438CD3B6" w14:textId="2D084B4C" w:rsidR="00E5528B" w:rsidRDefault="00E5528B" w:rsidP="00CB0A15">
      <w:pPr>
        <w:pStyle w:val="Nadpis2"/>
      </w:pPr>
      <w:r>
        <w:t xml:space="preserve">Smluvní strany se zavazují řádně spolupracovat a včas se navzájem informovat o všech podstatných skutečnostech, které mohou mít vliv na řádné plnění závazků ze Smlouvy. Takovou podstatnou skutečností je </w:t>
      </w:r>
      <w:r w:rsidR="00E07C26">
        <w:t>zejména</w:t>
      </w:r>
      <w:r>
        <w:t xml:space="preserve"> pokud právní moci nabyde povolení umožňující Investorovi </w:t>
      </w:r>
      <w:r w:rsidR="00522CE0">
        <w:t>započít realizaci Investičního záměru.</w:t>
      </w:r>
    </w:p>
    <w:p w14:paraId="5CC83B13" w14:textId="77777777" w:rsidR="002B47DE" w:rsidRDefault="002B47DE" w:rsidP="00CB0A15">
      <w:pPr>
        <w:pStyle w:val="Nadpis2"/>
      </w:pPr>
      <w:r w:rsidRPr="00E5528B">
        <w:t>Smluvní strany prohlašují, že jsou zcela způsobilé k právním jednáním, že veškerá prohlášení ve Smlouvě jsou pravdivá, a že se Smlouva shoduje s jejich souhlasnými, svobodnými a vážnými projevy vůle, že ji neuzavřely za nápadně nevýhodných podmínek a pod nátlakem a že se na jejím obsahu dohodly úplně tak, aby mezi nimi nedošlo k rozporům, což níže potvrzují svými vlastnoručními podpisy na všech vyhotoveních Smlouvy.</w:t>
      </w:r>
    </w:p>
    <w:p w14:paraId="14FDBF6A" w14:textId="77777777" w:rsidR="00E5528B" w:rsidRPr="00EE4568" w:rsidRDefault="00E5528B" w:rsidP="00CB0A15">
      <w:pPr>
        <w:pStyle w:val="Nadpis2"/>
      </w:pPr>
      <w:r w:rsidRPr="00EE4568">
        <w:lastRenderedPageBreak/>
        <w:t>Jakékoliv změny nebo doplňky Smlouvy je možno činit pouze písemnou formou a stávají se platnými a účinnými až podpisem obou Smluvních stran za současného splnění případných dalších zákonných či podzákonných podmínek.</w:t>
      </w:r>
    </w:p>
    <w:p w14:paraId="0E54F308" w14:textId="6186509C" w:rsidR="00E5528B" w:rsidRPr="00EE4568" w:rsidRDefault="00E5528B" w:rsidP="00CB0A15">
      <w:pPr>
        <w:pStyle w:val="Nadpis2"/>
      </w:pPr>
      <w:r w:rsidRPr="00EE4568">
        <w:t>V případě, že některé ustanovení Smlouvy je nebo se stane neplatným či neúčinným, zůstávají ostatní ustanovení Smlouvy platná a účinná. Namísto takového neplatného nebo neúčinného ustanovení budou ostatní ustanovení Smlouvy vykládána přiměřeným způsobem tak, aby v mezích zákona bylo co možná nejvíce dosaženo smyslu Smlouvy podle původního záměru Smluvních stran. Smluvní strany se zavazují uzavřít dodatek, kterým bude nahrazeno neplatné či neúčinné ustanovení Smlouvy ustanovením jiným, platným a účinným, které svým obsahem a smyslem odpovídá nejlépe obsahu a smyslu ustanovení původního.</w:t>
      </w:r>
    </w:p>
    <w:p w14:paraId="0089877A" w14:textId="1B44F3E0" w:rsidR="00E5528B" w:rsidRDefault="002B47DE" w:rsidP="00CB0A15">
      <w:pPr>
        <w:pStyle w:val="Nadpis2"/>
      </w:pPr>
      <w:r>
        <w:t>Smlouva je vyhotovena ve čtyřech (4) vyhotoveních stejného znění a významu, přičemž každá ze Smluvních stran obdrží po dvou vyhotoveních.</w:t>
      </w:r>
    </w:p>
    <w:p w14:paraId="3F4C88DB" w14:textId="08B543A3" w:rsidR="00DB6E51" w:rsidRDefault="00DB6E51" w:rsidP="00CB0A15">
      <w:pPr>
        <w:pStyle w:val="Nadpis2"/>
      </w:pPr>
      <w:r>
        <w:t>Smlouva se uzavírá na dobu určitou, a to do řádně ukončené realizace Investičního záměru a vypořádání závazků ze Smlouvy.</w:t>
      </w:r>
    </w:p>
    <w:p w14:paraId="7890430F" w14:textId="010545EA" w:rsidR="002B47DE" w:rsidRDefault="002B47DE" w:rsidP="00CB0A15">
      <w:pPr>
        <w:pStyle w:val="Nadpis2"/>
      </w:pPr>
      <w:r>
        <w:t xml:space="preserve">Smlouva nabývá platnosti dnem podpisu poslední ze Smluvních stran a účinnosti </w:t>
      </w:r>
      <w:r w:rsidR="004F47F3">
        <w:t xml:space="preserve">dnem uveřejnění v registru smluv v souladu se zákonem č. 340/2015 Sb., o registru smluv, ve znění pozdějších předpisů </w:t>
      </w:r>
      <w:r w:rsidR="004F47F3" w:rsidRPr="004F47F3">
        <w:rPr>
          <w:i/>
          <w:iCs/>
        </w:rPr>
        <w:t>(dále jen „</w:t>
      </w:r>
      <w:r w:rsidR="004F47F3" w:rsidRPr="004F47F3">
        <w:rPr>
          <w:b/>
          <w:bCs/>
          <w:i/>
          <w:iCs/>
        </w:rPr>
        <w:t>ZRS</w:t>
      </w:r>
      <w:r w:rsidR="004F47F3" w:rsidRPr="004F47F3">
        <w:rPr>
          <w:i/>
          <w:iCs/>
        </w:rPr>
        <w:t>“)</w:t>
      </w:r>
      <w:r w:rsidR="004F47F3">
        <w:t xml:space="preserve">. </w:t>
      </w:r>
    </w:p>
    <w:p w14:paraId="47F49B1F" w14:textId="2E6C5743" w:rsidR="00E93E86" w:rsidRDefault="00E93E86" w:rsidP="00E93E86">
      <w:pPr>
        <w:pStyle w:val="Nadpis2"/>
      </w:pPr>
      <w:r>
        <w:t>Obec</w:t>
      </w:r>
      <w:r w:rsidRPr="00B663A1">
        <w:t xml:space="preserve"> nenese odpovědnost za nesplnění povinností z</w:t>
      </w:r>
      <w:r>
        <w:t xml:space="preserve">e </w:t>
      </w:r>
      <w:r w:rsidRPr="00B663A1">
        <w:t>Smlouvy v důsledku zákonem vynuceného jednání na základě výsledku místního referenda. V případě přijetí platného rozhodnutí v místním referendu, které by se jakýmkoli způsobem dotýkalo Smlouvy, respektive plnění povinností kterékoli ze Smluvních stran uvedených v</w:t>
      </w:r>
      <w:r>
        <w:t xml:space="preserve">e </w:t>
      </w:r>
      <w:r w:rsidRPr="00B663A1">
        <w:t>Smlouvě, vstoupí Smluvní strany v dobré víře do vzájemných jednání, a to za účelem nalezení řešení takto vzniklé situace. Výsledkem těchto jednání bude uzavření dodatku k</w:t>
      </w:r>
      <w:r>
        <w:t>e</w:t>
      </w:r>
      <w:r w:rsidRPr="00B663A1">
        <w:t xml:space="preserve"> Smlouvě, kterým Smluvní strany upraví svá vzájemná práva a povinnosti v návaznosti na výsledek takového platného referenda při zachování smyslu a účelu Smlouvy.</w:t>
      </w:r>
    </w:p>
    <w:p w14:paraId="4257C3F3" w14:textId="355A5552" w:rsidR="004F47F3" w:rsidRDefault="004F47F3" w:rsidP="00CB0A15">
      <w:pPr>
        <w:pStyle w:val="Nadpis2"/>
      </w:pPr>
      <w:r>
        <w:t>Smluvní strany prohlašují, že souhlasí s uveřejněním Smlouvy včetně jejích příloh, jakož i případných dodatků, v registru smluv v rozsahu a způsobem stanovených v ZRS.</w:t>
      </w:r>
      <w:r w:rsidR="00D75227">
        <w:t xml:space="preserve"> </w:t>
      </w:r>
      <w:r w:rsidR="00D75227" w:rsidRPr="0014185F">
        <w:rPr>
          <w:highlight w:val="yellow"/>
        </w:rPr>
        <w:t>Smlouva neobsahuje žádné</w:t>
      </w:r>
      <w:r w:rsidR="0014185F" w:rsidRPr="0014185F">
        <w:rPr>
          <w:highlight w:val="yellow"/>
        </w:rPr>
        <w:t xml:space="preserve"> informace, které by nemohly být uveřejněny v registru smluv.</w:t>
      </w:r>
    </w:p>
    <w:p w14:paraId="6587F4AB" w14:textId="61AE9999" w:rsidR="0014185F" w:rsidRDefault="009A3170" w:rsidP="00CB0A15">
      <w:pPr>
        <w:pStyle w:val="Nadpis2"/>
      </w:pPr>
      <w:r>
        <w:t>Obec</w:t>
      </w:r>
      <w:r w:rsidR="0014185F" w:rsidRPr="0014185F">
        <w:t xml:space="preserve"> </w:t>
      </w:r>
      <w:r w:rsidR="00D71EB5">
        <w:t>[</w:t>
      </w:r>
      <w:r w:rsidR="00D71EB5" w:rsidRPr="00BD69F6">
        <w:rPr>
          <w:highlight w:val="yellow"/>
        </w:rPr>
        <w:t>doplnit</w:t>
      </w:r>
      <w:r w:rsidR="00D71EB5">
        <w:t>]</w:t>
      </w:r>
      <w:r w:rsidR="0014185F" w:rsidRPr="0014185F">
        <w:t xml:space="preserve"> ve smyslu ustanovení § 41 odst. 1 zákona č. 128/2000 Sb., o obcích, ve znění pozdějších předpisů, osvědčuje touto doložkou, že byly splněny veškeré podmínky pro platnost tohoto právního jednání stanovené tímto zákonem</w:t>
      </w:r>
      <w:r w:rsidR="0014185F">
        <w:t xml:space="preserve">. Uzavření Smlouvy bylo schváleno usnesením </w:t>
      </w:r>
      <w:r w:rsidR="00BB1D86">
        <w:t>z</w:t>
      </w:r>
      <w:r w:rsidR="0014185F">
        <w:t xml:space="preserve">astupitelstva </w:t>
      </w:r>
      <w:r w:rsidR="0055683E">
        <w:t>Obce</w:t>
      </w:r>
      <w:r w:rsidR="0014185F">
        <w:t xml:space="preserve"> </w:t>
      </w:r>
      <w:r w:rsidR="00D71EB5">
        <w:t>[</w:t>
      </w:r>
      <w:r w:rsidR="00D71EB5" w:rsidRPr="00BD69F6">
        <w:rPr>
          <w:highlight w:val="yellow"/>
        </w:rPr>
        <w:t>doplnit</w:t>
      </w:r>
      <w:r w:rsidR="00D71EB5">
        <w:t>]</w:t>
      </w:r>
      <w:r w:rsidR="0014185F">
        <w:t xml:space="preserve"> č. </w:t>
      </w:r>
      <w:r w:rsidR="00BD69F6" w:rsidRPr="00BD69F6">
        <w:rPr>
          <w:highlight w:val="yellow"/>
        </w:rPr>
        <w:t>[…]</w:t>
      </w:r>
      <w:r w:rsidR="0014185F">
        <w:t xml:space="preserve"> ze dne </w:t>
      </w:r>
      <w:r w:rsidR="00BD69F6" w:rsidRPr="00BD69F6">
        <w:rPr>
          <w:highlight w:val="yellow"/>
        </w:rPr>
        <w:t>[…]</w:t>
      </w:r>
      <w:r w:rsidR="0014185F">
        <w:t>.</w:t>
      </w:r>
    </w:p>
    <w:p w14:paraId="395FB7E0" w14:textId="3AF461F9" w:rsidR="00F737C5" w:rsidRDefault="00F737C5" w:rsidP="00222642">
      <w:pPr>
        <w:pStyle w:val="Bezmezer"/>
      </w:pPr>
    </w:p>
    <w:p w14:paraId="4C5F6007" w14:textId="6BE00365" w:rsidR="00222642" w:rsidRDefault="00222642" w:rsidP="00222642">
      <w:pPr>
        <w:pStyle w:val="Bezmezer"/>
      </w:pPr>
      <w:r w:rsidRPr="000B4686">
        <w:rPr>
          <w:b/>
          <w:bCs/>
        </w:rPr>
        <w:t>Přílohy:</w:t>
      </w:r>
      <w:r>
        <w:tab/>
        <w:t>1) Situační výkres</w:t>
      </w:r>
    </w:p>
    <w:p w14:paraId="759B9124" w14:textId="174F1A2B" w:rsidR="002322D0" w:rsidRDefault="00222642" w:rsidP="00222642">
      <w:pPr>
        <w:pStyle w:val="Bezmezer"/>
      </w:pPr>
      <w:r>
        <w:tab/>
      </w:r>
      <w:r>
        <w:tab/>
        <w:t>2) Parametry Adaptačních opatření</w:t>
      </w:r>
    </w:p>
    <w:p w14:paraId="5716914C" w14:textId="65E99C8C" w:rsidR="002322D0" w:rsidRDefault="002322D0" w:rsidP="00222642">
      <w:pPr>
        <w:pStyle w:val="Bezmezer"/>
      </w:pPr>
      <w:r>
        <w:tab/>
      </w:r>
      <w:r>
        <w:tab/>
      </w:r>
      <w:r w:rsidR="007227A2">
        <w:t>3</w:t>
      </w:r>
      <w:r>
        <w:t>) Harmonogram</w:t>
      </w:r>
    </w:p>
    <w:p w14:paraId="1BA83ED9" w14:textId="77777777" w:rsidR="00F737C5" w:rsidRDefault="00F737C5" w:rsidP="00F737C5"/>
    <w:p w14:paraId="19D46541" w14:textId="77777777" w:rsidR="00F737C5" w:rsidRPr="00F737C5" w:rsidRDefault="00F737C5" w:rsidP="00F737C5"/>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1212"/>
        <w:gridCol w:w="4377"/>
      </w:tblGrid>
      <w:tr w:rsidR="0014185F" w14:paraId="699FEAA2" w14:textId="77777777" w:rsidTr="00510471">
        <w:tc>
          <w:tcPr>
            <w:tcW w:w="4390" w:type="dxa"/>
            <w:vAlign w:val="center"/>
          </w:tcPr>
          <w:p w14:paraId="2747A753" w14:textId="3F3F84A2" w:rsidR="0014185F" w:rsidRDefault="00BB1D86" w:rsidP="00F737C5">
            <w:pPr>
              <w:pStyle w:val="Bezmezer"/>
            </w:pPr>
            <w:r>
              <w:t>D</w:t>
            </w:r>
            <w:r w:rsidR="00F737C5">
              <w:t>ne ___________</w:t>
            </w:r>
          </w:p>
          <w:p w14:paraId="56F71E96" w14:textId="77777777" w:rsidR="00F737C5" w:rsidRDefault="00F737C5" w:rsidP="00F737C5">
            <w:pPr>
              <w:pStyle w:val="Bezmezer"/>
            </w:pPr>
          </w:p>
          <w:p w14:paraId="52346DCC" w14:textId="77777777" w:rsidR="00F737C5" w:rsidRDefault="00F737C5" w:rsidP="00F737C5">
            <w:pPr>
              <w:pStyle w:val="Bezmezer"/>
            </w:pPr>
          </w:p>
          <w:p w14:paraId="00DA34AA" w14:textId="77777777" w:rsidR="00F737C5" w:rsidRDefault="00F737C5" w:rsidP="00F737C5">
            <w:pPr>
              <w:pStyle w:val="Bezmezer"/>
            </w:pPr>
          </w:p>
          <w:p w14:paraId="34334722" w14:textId="77777777" w:rsidR="00F737C5" w:rsidRDefault="00F737C5" w:rsidP="00F737C5">
            <w:pPr>
              <w:pStyle w:val="Bezmezer"/>
            </w:pPr>
          </w:p>
          <w:p w14:paraId="38CC6EAC" w14:textId="77777777" w:rsidR="00F737C5" w:rsidRDefault="00F737C5" w:rsidP="00F737C5">
            <w:pPr>
              <w:pStyle w:val="Bezmezer"/>
              <w:jc w:val="center"/>
            </w:pPr>
            <w:r>
              <w:t>__________________________________</w:t>
            </w:r>
          </w:p>
          <w:p w14:paraId="48814C7F" w14:textId="4D484A0D" w:rsidR="00F737C5" w:rsidRPr="00F737C5" w:rsidRDefault="009A3170" w:rsidP="00F737C5">
            <w:pPr>
              <w:pStyle w:val="Bezmezer"/>
              <w:jc w:val="center"/>
              <w:rPr>
                <w:b/>
                <w:bCs/>
                <w:sz w:val="24"/>
                <w:szCs w:val="24"/>
              </w:rPr>
            </w:pPr>
            <w:r>
              <w:rPr>
                <w:b/>
                <w:bCs/>
                <w:sz w:val="24"/>
                <w:szCs w:val="24"/>
              </w:rPr>
              <w:lastRenderedPageBreak/>
              <w:t>Obec</w:t>
            </w:r>
            <w:r w:rsidR="00F737C5" w:rsidRPr="00F737C5">
              <w:rPr>
                <w:b/>
                <w:bCs/>
                <w:sz w:val="24"/>
                <w:szCs w:val="24"/>
              </w:rPr>
              <w:t xml:space="preserve"> </w:t>
            </w:r>
            <w:r w:rsidR="00D71EB5">
              <w:rPr>
                <w:b/>
                <w:bCs/>
                <w:sz w:val="24"/>
                <w:szCs w:val="24"/>
              </w:rPr>
              <w:t>[</w:t>
            </w:r>
            <w:r w:rsidR="00D71EB5" w:rsidRPr="00276EE1">
              <w:rPr>
                <w:b/>
                <w:bCs/>
                <w:sz w:val="24"/>
                <w:szCs w:val="24"/>
                <w:highlight w:val="yellow"/>
              </w:rPr>
              <w:t>doplnit</w:t>
            </w:r>
            <w:r w:rsidR="00D71EB5">
              <w:rPr>
                <w:b/>
                <w:bCs/>
                <w:sz w:val="24"/>
                <w:szCs w:val="24"/>
              </w:rPr>
              <w:t>]</w:t>
            </w:r>
          </w:p>
          <w:p w14:paraId="5BB2053B" w14:textId="61E36134" w:rsidR="00F737C5" w:rsidRDefault="00B61111" w:rsidP="00F737C5">
            <w:pPr>
              <w:pStyle w:val="Bezmezer"/>
              <w:jc w:val="center"/>
            </w:pPr>
            <w:r>
              <w:t>[</w:t>
            </w:r>
            <w:r w:rsidRPr="00276EE1">
              <w:rPr>
                <w:highlight w:val="yellow"/>
              </w:rPr>
              <w:t>doplnit</w:t>
            </w:r>
            <w:r w:rsidR="00276EE1" w:rsidRPr="00276EE1">
              <w:rPr>
                <w:highlight w:val="yellow"/>
              </w:rPr>
              <w:t xml:space="preserve"> jméno</w:t>
            </w:r>
            <w:r>
              <w:t>]</w:t>
            </w:r>
          </w:p>
          <w:p w14:paraId="4F9C3777" w14:textId="425741D2" w:rsidR="00276EE1" w:rsidRDefault="00276EE1" w:rsidP="00F737C5">
            <w:pPr>
              <w:pStyle w:val="Bezmezer"/>
              <w:jc w:val="center"/>
            </w:pPr>
            <w:r>
              <w:t>starosta obce [</w:t>
            </w:r>
            <w:r w:rsidRPr="00276EE1">
              <w:rPr>
                <w:highlight w:val="yellow"/>
              </w:rPr>
              <w:t>doplnit</w:t>
            </w:r>
            <w:r>
              <w:t>]</w:t>
            </w:r>
          </w:p>
        </w:tc>
        <w:tc>
          <w:tcPr>
            <w:tcW w:w="2251" w:type="dxa"/>
          </w:tcPr>
          <w:p w14:paraId="3708AD11" w14:textId="77777777" w:rsidR="0014185F" w:rsidRDefault="0014185F" w:rsidP="00F737C5">
            <w:pPr>
              <w:pStyle w:val="Bezmezer"/>
            </w:pPr>
          </w:p>
        </w:tc>
        <w:tc>
          <w:tcPr>
            <w:tcW w:w="3321" w:type="dxa"/>
          </w:tcPr>
          <w:p w14:paraId="712DFC40" w14:textId="64C75F62" w:rsidR="00F737C5" w:rsidRDefault="00BB1D86" w:rsidP="00F737C5">
            <w:pPr>
              <w:pStyle w:val="Bezmezer"/>
            </w:pPr>
            <w:r>
              <w:t>D</w:t>
            </w:r>
            <w:r w:rsidR="00F737C5">
              <w:t>ne ___________</w:t>
            </w:r>
          </w:p>
          <w:p w14:paraId="0C330F9A" w14:textId="77777777" w:rsidR="00F737C5" w:rsidRDefault="00F737C5" w:rsidP="00F737C5">
            <w:pPr>
              <w:pStyle w:val="Bezmezer"/>
            </w:pPr>
          </w:p>
          <w:p w14:paraId="1DEA2D3C" w14:textId="77777777" w:rsidR="00F737C5" w:rsidRDefault="00F737C5" w:rsidP="00F737C5">
            <w:pPr>
              <w:pStyle w:val="Bezmezer"/>
            </w:pPr>
          </w:p>
          <w:p w14:paraId="3BD629AB" w14:textId="77777777" w:rsidR="00F737C5" w:rsidRDefault="00F737C5" w:rsidP="00F737C5">
            <w:pPr>
              <w:pStyle w:val="Bezmezer"/>
            </w:pPr>
          </w:p>
          <w:p w14:paraId="22095AEB" w14:textId="77777777" w:rsidR="00F737C5" w:rsidRDefault="00F737C5" w:rsidP="00F737C5">
            <w:pPr>
              <w:pStyle w:val="Bezmezer"/>
            </w:pPr>
          </w:p>
          <w:p w14:paraId="51FCDDF6" w14:textId="77777777" w:rsidR="0014185F" w:rsidRDefault="00F737C5" w:rsidP="00F737C5">
            <w:pPr>
              <w:pStyle w:val="Bezmezer"/>
              <w:jc w:val="center"/>
            </w:pPr>
            <w:r>
              <w:t>__________________________________</w:t>
            </w:r>
          </w:p>
          <w:p w14:paraId="716FA109" w14:textId="340C0B13" w:rsidR="00F737C5" w:rsidRPr="00F737C5" w:rsidRDefault="00B61111" w:rsidP="00F737C5">
            <w:pPr>
              <w:pStyle w:val="Bezmezer"/>
              <w:jc w:val="center"/>
              <w:rPr>
                <w:b/>
                <w:bCs/>
                <w:sz w:val="24"/>
                <w:szCs w:val="24"/>
                <w:highlight w:val="yellow"/>
              </w:rPr>
            </w:pPr>
            <w:r>
              <w:rPr>
                <w:b/>
                <w:bCs/>
                <w:sz w:val="24"/>
                <w:szCs w:val="24"/>
                <w:highlight w:val="yellow"/>
              </w:rPr>
              <w:lastRenderedPageBreak/>
              <w:t>[</w:t>
            </w:r>
            <w:r w:rsidR="00F737C5" w:rsidRPr="00F737C5">
              <w:rPr>
                <w:b/>
                <w:bCs/>
                <w:sz w:val="24"/>
                <w:szCs w:val="24"/>
                <w:highlight w:val="yellow"/>
              </w:rPr>
              <w:t>doplnit název</w:t>
            </w:r>
            <w:r>
              <w:rPr>
                <w:b/>
                <w:bCs/>
                <w:sz w:val="24"/>
                <w:szCs w:val="24"/>
                <w:highlight w:val="yellow"/>
              </w:rPr>
              <w:t>]</w:t>
            </w:r>
          </w:p>
          <w:p w14:paraId="6AF8EDFC" w14:textId="495C8B60" w:rsidR="00F737C5" w:rsidRPr="00F737C5" w:rsidRDefault="00B61111" w:rsidP="00F737C5">
            <w:pPr>
              <w:pStyle w:val="Bezmezer"/>
              <w:jc w:val="center"/>
              <w:rPr>
                <w:highlight w:val="yellow"/>
              </w:rPr>
            </w:pPr>
            <w:r>
              <w:rPr>
                <w:highlight w:val="yellow"/>
              </w:rPr>
              <w:t>[</w:t>
            </w:r>
            <w:r w:rsidR="00F737C5" w:rsidRPr="00F737C5">
              <w:rPr>
                <w:highlight w:val="yellow"/>
              </w:rPr>
              <w:t>doplnit zástupce</w:t>
            </w:r>
            <w:r>
              <w:rPr>
                <w:highlight w:val="yellow"/>
              </w:rPr>
              <w:t>]</w:t>
            </w:r>
          </w:p>
          <w:p w14:paraId="62E44109" w14:textId="2AE5B4F9" w:rsidR="00F737C5" w:rsidRDefault="00B61111" w:rsidP="00F737C5">
            <w:pPr>
              <w:pStyle w:val="Bezmezer"/>
              <w:jc w:val="center"/>
            </w:pPr>
            <w:r>
              <w:rPr>
                <w:highlight w:val="yellow"/>
              </w:rPr>
              <w:t>[</w:t>
            </w:r>
            <w:r w:rsidR="00F737C5" w:rsidRPr="00F737C5">
              <w:rPr>
                <w:highlight w:val="yellow"/>
              </w:rPr>
              <w:t>doplnit funkci</w:t>
            </w:r>
            <w:r w:rsidRPr="00B61111">
              <w:rPr>
                <w:highlight w:val="yellow"/>
              </w:rPr>
              <w:t>]</w:t>
            </w:r>
          </w:p>
        </w:tc>
      </w:tr>
    </w:tbl>
    <w:p w14:paraId="75812F22" w14:textId="77777777" w:rsidR="00886458" w:rsidRPr="007139C6" w:rsidRDefault="00886458" w:rsidP="007139C6"/>
    <w:sectPr w:rsidR="00886458" w:rsidRPr="007139C6" w:rsidSect="00222642">
      <w:footerReference w:type="default" r:id="rId8"/>
      <w:headerReference w:type="first" r:id="rId9"/>
      <w:pgSz w:w="12240" w:h="15840"/>
      <w:pgMar w:top="1134" w:right="1134" w:bottom="1134" w:left="1134" w:header="39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47FA" w14:textId="77777777" w:rsidR="00B52769" w:rsidRDefault="00B52769" w:rsidP="00684B77">
      <w:pPr>
        <w:spacing w:line="240" w:lineRule="auto"/>
      </w:pPr>
      <w:r>
        <w:separator/>
      </w:r>
    </w:p>
  </w:endnote>
  <w:endnote w:type="continuationSeparator" w:id="0">
    <w:p w14:paraId="04925052" w14:textId="77777777" w:rsidR="00B52769" w:rsidRDefault="00B52769" w:rsidP="00684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58954"/>
      <w:docPartObj>
        <w:docPartGallery w:val="Page Numbers (Bottom of Page)"/>
        <w:docPartUnique/>
      </w:docPartObj>
    </w:sdtPr>
    <w:sdtContent>
      <w:p w14:paraId="59479CC0" w14:textId="02B78C3B" w:rsidR="00684B77" w:rsidRDefault="00684B77">
        <w:pPr>
          <w:pStyle w:val="Zpat"/>
          <w:jc w:val="right"/>
        </w:pPr>
        <w:r>
          <w:fldChar w:fldCharType="begin"/>
        </w:r>
        <w:r>
          <w:instrText>PAGE   \* MERGEFORMAT</w:instrText>
        </w:r>
        <w:r>
          <w:fldChar w:fldCharType="separate"/>
        </w:r>
        <w:r>
          <w:t>2</w:t>
        </w:r>
        <w:r>
          <w:fldChar w:fldCharType="end"/>
        </w:r>
      </w:p>
    </w:sdtContent>
  </w:sdt>
  <w:p w14:paraId="63C43D03" w14:textId="77777777" w:rsidR="00684B77" w:rsidRDefault="00684B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9087" w14:textId="77777777" w:rsidR="00B52769" w:rsidRDefault="00B52769" w:rsidP="00684B77">
      <w:pPr>
        <w:spacing w:line="240" w:lineRule="auto"/>
      </w:pPr>
      <w:r>
        <w:separator/>
      </w:r>
    </w:p>
  </w:footnote>
  <w:footnote w:type="continuationSeparator" w:id="0">
    <w:p w14:paraId="4D781445" w14:textId="77777777" w:rsidR="00B52769" w:rsidRDefault="00B52769" w:rsidP="00684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5D59" w14:textId="57312BB5" w:rsidR="00510471" w:rsidRDefault="00510471" w:rsidP="00510471">
    <w:pPr>
      <w:pStyle w:val="Zhlav"/>
      <w:spacing w:after="0"/>
    </w:pPr>
    <w:r>
      <w:t>Zásady pro výstavbu v</w:t>
    </w:r>
    <w:r w:rsidR="008A5472">
      <w:t> </w:t>
    </w:r>
    <w:r w:rsidR="00367A00">
      <w:t>obci</w:t>
    </w:r>
    <w:r w:rsidR="008A5472">
      <w:t xml:space="preserve"> </w:t>
    </w:r>
    <w:proofErr w:type="gramStart"/>
    <w:r w:rsidR="008A5472">
      <w:t>Straškov - Vodochody</w:t>
    </w:r>
    <w:proofErr w:type="gramEnd"/>
  </w:p>
  <w:p w14:paraId="5A3EF2FA" w14:textId="254EA38B" w:rsidR="00510471" w:rsidRDefault="00510471" w:rsidP="00510471">
    <w:pPr>
      <w:pStyle w:val="Zhlav"/>
      <w:spacing w:after="0"/>
    </w:pPr>
    <w:r>
      <w:t xml:space="preserve">Příloha č. </w:t>
    </w:r>
    <w:r w:rsidR="00EB243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F4E"/>
    <w:multiLevelType w:val="hybridMultilevel"/>
    <w:tmpl w:val="5878649C"/>
    <w:lvl w:ilvl="0" w:tplc="1AF0E908">
      <w:start w:val="1"/>
      <w:numFmt w:val="decimal"/>
      <w:lvlText w:val="%1."/>
      <w:lvlJc w:val="left"/>
      <w:pPr>
        <w:ind w:left="567" w:hanging="567"/>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 w15:restartNumberingAfterBreak="0">
    <w:nsid w:val="3A297811"/>
    <w:multiLevelType w:val="hybridMultilevel"/>
    <w:tmpl w:val="E1923830"/>
    <w:lvl w:ilvl="0" w:tplc="00CA88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FF00CD"/>
    <w:multiLevelType w:val="multilevel"/>
    <w:tmpl w:val="9D24DBE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lowerLetter"/>
      <w:pStyle w:val="Nadpis3"/>
      <w:lvlText w:val="%3)"/>
      <w:lvlJc w:val="left"/>
      <w:pPr>
        <w:ind w:left="720" w:hanging="720"/>
      </w:pPr>
      <w:rPr>
        <w:b/>
        <w:bCs/>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64DD516E"/>
    <w:multiLevelType w:val="multilevel"/>
    <w:tmpl w:val="0A781AF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4" w15:restartNumberingAfterBreak="0">
    <w:nsid w:val="6D0E07AD"/>
    <w:multiLevelType w:val="multilevel"/>
    <w:tmpl w:val="D8360FE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5" w15:restartNumberingAfterBreak="0">
    <w:nsid w:val="7ADF1720"/>
    <w:multiLevelType w:val="hybridMultilevel"/>
    <w:tmpl w:val="164CA3A8"/>
    <w:lvl w:ilvl="0" w:tplc="0409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872573238">
    <w:abstractNumId w:val="4"/>
  </w:num>
  <w:num w:numId="2" w16cid:durableId="585966979">
    <w:abstractNumId w:val="1"/>
  </w:num>
  <w:num w:numId="3" w16cid:durableId="257911193">
    <w:abstractNumId w:val="0"/>
  </w:num>
  <w:num w:numId="4" w16cid:durableId="1229731554">
    <w:abstractNumId w:val="3"/>
  </w:num>
  <w:num w:numId="5" w16cid:durableId="1647978140">
    <w:abstractNumId w:val="5"/>
  </w:num>
  <w:num w:numId="6" w16cid:durableId="710887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38"/>
    <w:rsid w:val="000241F2"/>
    <w:rsid w:val="0003603C"/>
    <w:rsid w:val="00045D0D"/>
    <w:rsid w:val="000469CE"/>
    <w:rsid w:val="00055D38"/>
    <w:rsid w:val="000568D3"/>
    <w:rsid w:val="00070E6F"/>
    <w:rsid w:val="000B4686"/>
    <w:rsid w:val="000C5925"/>
    <w:rsid w:val="000F2D09"/>
    <w:rsid w:val="000F2FF9"/>
    <w:rsid w:val="001100F4"/>
    <w:rsid w:val="0014185F"/>
    <w:rsid w:val="00157A4A"/>
    <w:rsid w:val="0018122C"/>
    <w:rsid w:val="001A22CB"/>
    <w:rsid w:val="001C15C2"/>
    <w:rsid w:val="001C7867"/>
    <w:rsid w:val="001D310B"/>
    <w:rsid w:val="001E2CB7"/>
    <w:rsid w:val="001F1BB4"/>
    <w:rsid w:val="00201E91"/>
    <w:rsid w:val="00205034"/>
    <w:rsid w:val="00207758"/>
    <w:rsid w:val="00214F96"/>
    <w:rsid w:val="00222642"/>
    <w:rsid w:val="00226C13"/>
    <w:rsid w:val="002322D0"/>
    <w:rsid w:val="00276EE1"/>
    <w:rsid w:val="002860B2"/>
    <w:rsid w:val="002A5B5D"/>
    <w:rsid w:val="002B47DE"/>
    <w:rsid w:val="002B79EB"/>
    <w:rsid w:val="002C2A9E"/>
    <w:rsid w:val="002C4D75"/>
    <w:rsid w:val="002D3C69"/>
    <w:rsid w:val="002D491A"/>
    <w:rsid w:val="002D5A02"/>
    <w:rsid w:val="002E13DB"/>
    <w:rsid w:val="002F6EC9"/>
    <w:rsid w:val="003113F9"/>
    <w:rsid w:val="00340D66"/>
    <w:rsid w:val="00367A00"/>
    <w:rsid w:val="00385B96"/>
    <w:rsid w:val="00386BB2"/>
    <w:rsid w:val="0039243C"/>
    <w:rsid w:val="003C74C4"/>
    <w:rsid w:val="003F7243"/>
    <w:rsid w:val="0042018C"/>
    <w:rsid w:val="0042293F"/>
    <w:rsid w:val="00426D2B"/>
    <w:rsid w:val="00427437"/>
    <w:rsid w:val="0043682A"/>
    <w:rsid w:val="0048166B"/>
    <w:rsid w:val="004874F5"/>
    <w:rsid w:val="004C22E3"/>
    <w:rsid w:val="004D1C98"/>
    <w:rsid w:val="004F47F3"/>
    <w:rsid w:val="004F4FEC"/>
    <w:rsid w:val="00506FF3"/>
    <w:rsid w:val="00510471"/>
    <w:rsid w:val="00521B2C"/>
    <w:rsid w:val="00522CE0"/>
    <w:rsid w:val="00522EFA"/>
    <w:rsid w:val="0054024B"/>
    <w:rsid w:val="00554DAA"/>
    <w:rsid w:val="0055683E"/>
    <w:rsid w:val="00557B25"/>
    <w:rsid w:val="0057661D"/>
    <w:rsid w:val="00600C8D"/>
    <w:rsid w:val="00600E09"/>
    <w:rsid w:val="006101CE"/>
    <w:rsid w:val="00613738"/>
    <w:rsid w:val="00616EF5"/>
    <w:rsid w:val="00622956"/>
    <w:rsid w:val="006236EA"/>
    <w:rsid w:val="006726A1"/>
    <w:rsid w:val="006847B6"/>
    <w:rsid w:val="00684B77"/>
    <w:rsid w:val="006852EC"/>
    <w:rsid w:val="0069389B"/>
    <w:rsid w:val="0069546A"/>
    <w:rsid w:val="006A481F"/>
    <w:rsid w:val="006C39A6"/>
    <w:rsid w:val="00711CF0"/>
    <w:rsid w:val="00712F0A"/>
    <w:rsid w:val="007139C6"/>
    <w:rsid w:val="007227A2"/>
    <w:rsid w:val="00723D60"/>
    <w:rsid w:val="007521E1"/>
    <w:rsid w:val="007540A8"/>
    <w:rsid w:val="00754699"/>
    <w:rsid w:val="00762FA3"/>
    <w:rsid w:val="00770F62"/>
    <w:rsid w:val="00785E25"/>
    <w:rsid w:val="007A02FA"/>
    <w:rsid w:val="007A7501"/>
    <w:rsid w:val="007B6149"/>
    <w:rsid w:val="007D00D8"/>
    <w:rsid w:val="007D5C9D"/>
    <w:rsid w:val="007F0837"/>
    <w:rsid w:val="008121EE"/>
    <w:rsid w:val="0081678B"/>
    <w:rsid w:val="008200E2"/>
    <w:rsid w:val="00862340"/>
    <w:rsid w:val="00865BF2"/>
    <w:rsid w:val="0088132F"/>
    <w:rsid w:val="00883382"/>
    <w:rsid w:val="00886458"/>
    <w:rsid w:val="00891E10"/>
    <w:rsid w:val="00892B63"/>
    <w:rsid w:val="008A2FBF"/>
    <w:rsid w:val="008A5472"/>
    <w:rsid w:val="008B6AE5"/>
    <w:rsid w:val="008F2688"/>
    <w:rsid w:val="008F2C65"/>
    <w:rsid w:val="00955BF5"/>
    <w:rsid w:val="00973D63"/>
    <w:rsid w:val="009A3170"/>
    <w:rsid w:val="009A434C"/>
    <w:rsid w:val="009C2A15"/>
    <w:rsid w:val="009E6A34"/>
    <w:rsid w:val="00A010FF"/>
    <w:rsid w:val="00A44B6E"/>
    <w:rsid w:val="00A5389A"/>
    <w:rsid w:val="00A65D11"/>
    <w:rsid w:val="00A708A4"/>
    <w:rsid w:val="00A771DA"/>
    <w:rsid w:val="00A8649A"/>
    <w:rsid w:val="00A92455"/>
    <w:rsid w:val="00A92EB7"/>
    <w:rsid w:val="00A94DEB"/>
    <w:rsid w:val="00AA1C98"/>
    <w:rsid w:val="00AA6D3B"/>
    <w:rsid w:val="00AB26D9"/>
    <w:rsid w:val="00AB4792"/>
    <w:rsid w:val="00AC0F29"/>
    <w:rsid w:val="00B07B5F"/>
    <w:rsid w:val="00B23702"/>
    <w:rsid w:val="00B24E32"/>
    <w:rsid w:val="00B33231"/>
    <w:rsid w:val="00B523C4"/>
    <w:rsid w:val="00B52769"/>
    <w:rsid w:val="00B61111"/>
    <w:rsid w:val="00B971D7"/>
    <w:rsid w:val="00BA5E11"/>
    <w:rsid w:val="00BB1D86"/>
    <w:rsid w:val="00BB363A"/>
    <w:rsid w:val="00BB6912"/>
    <w:rsid w:val="00BC5F8E"/>
    <w:rsid w:val="00BD69F6"/>
    <w:rsid w:val="00BE141B"/>
    <w:rsid w:val="00BF425D"/>
    <w:rsid w:val="00C06293"/>
    <w:rsid w:val="00C23380"/>
    <w:rsid w:val="00C60ED6"/>
    <w:rsid w:val="00C80F91"/>
    <w:rsid w:val="00C81CF4"/>
    <w:rsid w:val="00CA3D76"/>
    <w:rsid w:val="00CB0A15"/>
    <w:rsid w:val="00CB42DA"/>
    <w:rsid w:val="00CB5269"/>
    <w:rsid w:val="00CD0416"/>
    <w:rsid w:val="00CE4209"/>
    <w:rsid w:val="00D40049"/>
    <w:rsid w:val="00D54A46"/>
    <w:rsid w:val="00D6580E"/>
    <w:rsid w:val="00D71EB5"/>
    <w:rsid w:val="00D75227"/>
    <w:rsid w:val="00D8101B"/>
    <w:rsid w:val="00D91707"/>
    <w:rsid w:val="00DA612A"/>
    <w:rsid w:val="00DA70DB"/>
    <w:rsid w:val="00DB1175"/>
    <w:rsid w:val="00DB6E51"/>
    <w:rsid w:val="00DC4446"/>
    <w:rsid w:val="00DE40BF"/>
    <w:rsid w:val="00DF3544"/>
    <w:rsid w:val="00DF45D1"/>
    <w:rsid w:val="00E07C26"/>
    <w:rsid w:val="00E1520C"/>
    <w:rsid w:val="00E22C55"/>
    <w:rsid w:val="00E3575D"/>
    <w:rsid w:val="00E54EBC"/>
    <w:rsid w:val="00E5528B"/>
    <w:rsid w:val="00E76A8B"/>
    <w:rsid w:val="00E82B05"/>
    <w:rsid w:val="00E91DEB"/>
    <w:rsid w:val="00E93E86"/>
    <w:rsid w:val="00E95512"/>
    <w:rsid w:val="00EB2432"/>
    <w:rsid w:val="00ED3018"/>
    <w:rsid w:val="00ED42B6"/>
    <w:rsid w:val="00EE12B2"/>
    <w:rsid w:val="00EF40D3"/>
    <w:rsid w:val="00F00B92"/>
    <w:rsid w:val="00F016EF"/>
    <w:rsid w:val="00F14500"/>
    <w:rsid w:val="00F343DF"/>
    <w:rsid w:val="00F442B2"/>
    <w:rsid w:val="00F55D28"/>
    <w:rsid w:val="00F6689C"/>
    <w:rsid w:val="00F737C5"/>
    <w:rsid w:val="00F9203C"/>
    <w:rsid w:val="00F941E0"/>
    <w:rsid w:val="00FB71BF"/>
    <w:rsid w:val="00FC3AD6"/>
    <w:rsid w:val="00FD6879"/>
    <w:rsid w:val="00FD6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292E"/>
  <w15:chartTrackingRefBased/>
  <w15:docId w15:val="{22B9AC51-EE68-49CF-BB65-75179EB9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293"/>
    <w:pPr>
      <w:spacing w:after="120"/>
      <w:jc w:val="both"/>
    </w:pPr>
    <w:rPr>
      <w:rFonts w:ascii="Arial" w:hAnsi="Arial"/>
    </w:rPr>
  </w:style>
  <w:style w:type="paragraph" w:styleId="Nadpis1">
    <w:name w:val="heading 1"/>
    <w:basedOn w:val="Nadpis2"/>
    <w:next w:val="Nadpis2"/>
    <w:link w:val="Nadpis1Char"/>
    <w:uiPriority w:val="9"/>
    <w:qFormat/>
    <w:rsid w:val="00622956"/>
    <w:pPr>
      <w:keepNext/>
      <w:numPr>
        <w:ilvl w:val="0"/>
      </w:numPr>
      <w:spacing w:before="360"/>
      <w:ind w:left="709" w:hanging="709"/>
      <w:outlineLvl w:val="0"/>
    </w:pPr>
    <w:rPr>
      <w:b/>
      <w:bCs/>
      <w:sz w:val="26"/>
    </w:rPr>
  </w:style>
  <w:style w:type="paragraph" w:styleId="Nadpis2">
    <w:name w:val="heading 2"/>
    <w:basedOn w:val="Normln"/>
    <w:link w:val="Nadpis2Char"/>
    <w:autoRedefine/>
    <w:uiPriority w:val="9"/>
    <w:unhideWhenUsed/>
    <w:qFormat/>
    <w:rsid w:val="00762FA3"/>
    <w:pPr>
      <w:numPr>
        <w:ilvl w:val="1"/>
        <w:numId w:val="6"/>
      </w:numPr>
      <w:spacing w:after="140"/>
      <w:ind w:left="709" w:hanging="709"/>
      <w:outlineLvl w:val="1"/>
    </w:pPr>
    <w:rPr>
      <w:rFonts w:eastAsiaTheme="majorEastAsia" w:cstheme="majorBidi"/>
      <w:szCs w:val="26"/>
    </w:rPr>
  </w:style>
  <w:style w:type="paragraph" w:styleId="Nadpis3">
    <w:name w:val="heading 3"/>
    <w:aliases w:val="text"/>
    <w:basedOn w:val="Normln"/>
    <w:link w:val="Nadpis3Char"/>
    <w:uiPriority w:val="9"/>
    <w:unhideWhenUsed/>
    <w:qFormat/>
    <w:rsid w:val="00DF3544"/>
    <w:pPr>
      <w:numPr>
        <w:ilvl w:val="2"/>
        <w:numId w:val="6"/>
      </w:numPr>
      <w:ind w:left="993" w:hanging="284"/>
      <w:outlineLvl w:val="2"/>
    </w:pPr>
    <w:rPr>
      <w:rFonts w:eastAsiaTheme="majorEastAsia" w:cstheme="majorBidi"/>
      <w:szCs w:val="24"/>
    </w:rPr>
  </w:style>
  <w:style w:type="paragraph" w:styleId="Nadpis4">
    <w:name w:val="heading 4"/>
    <w:basedOn w:val="Normln"/>
    <w:next w:val="Normln"/>
    <w:link w:val="Nadpis4Char"/>
    <w:uiPriority w:val="9"/>
    <w:unhideWhenUsed/>
    <w:rsid w:val="001C15C2"/>
    <w:pPr>
      <w:keepNext/>
      <w:keepLines/>
      <w:numPr>
        <w:ilvl w:val="3"/>
        <w:numId w:val="6"/>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rsid w:val="001C15C2"/>
    <w:pPr>
      <w:keepNext/>
      <w:keepLines/>
      <w:numPr>
        <w:ilvl w:val="4"/>
        <w:numId w:val="6"/>
      </w:numPr>
      <w:tabs>
        <w:tab w:val="num" w:pos="360"/>
      </w:tabs>
      <w:spacing w:before="40"/>
      <w:ind w:left="0" w:firstLine="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rsid w:val="001C15C2"/>
    <w:pPr>
      <w:keepNext/>
      <w:keepLines/>
      <w:numPr>
        <w:ilvl w:val="5"/>
        <w:numId w:val="6"/>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C15C2"/>
    <w:pPr>
      <w:keepNext/>
      <w:keepLines/>
      <w:numPr>
        <w:ilvl w:val="6"/>
        <w:numId w:val="6"/>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C15C2"/>
    <w:pPr>
      <w:keepNext/>
      <w:keepLines/>
      <w:numPr>
        <w:ilvl w:val="7"/>
        <w:numId w:val="6"/>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C15C2"/>
    <w:pPr>
      <w:keepNext/>
      <w:keepLines/>
      <w:numPr>
        <w:ilvl w:val="8"/>
        <w:numId w:val="6"/>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2956"/>
    <w:rPr>
      <w:rFonts w:ascii="Arial" w:eastAsiaTheme="majorEastAsia" w:hAnsi="Arial" w:cstheme="majorBidi"/>
      <w:b/>
      <w:bCs/>
      <w:sz w:val="26"/>
      <w:szCs w:val="26"/>
    </w:rPr>
  </w:style>
  <w:style w:type="character" w:customStyle="1" w:styleId="Nadpis2Char">
    <w:name w:val="Nadpis 2 Char"/>
    <w:basedOn w:val="Standardnpsmoodstavce"/>
    <w:link w:val="Nadpis2"/>
    <w:uiPriority w:val="9"/>
    <w:rsid w:val="00762FA3"/>
    <w:rPr>
      <w:rFonts w:ascii="Arial" w:eastAsiaTheme="majorEastAsia" w:hAnsi="Arial" w:cstheme="majorBidi"/>
      <w:szCs w:val="26"/>
    </w:rPr>
  </w:style>
  <w:style w:type="paragraph" w:styleId="Nzev">
    <w:name w:val="Title"/>
    <w:basedOn w:val="Normln"/>
    <w:next w:val="Normln"/>
    <w:link w:val="NzevChar"/>
    <w:uiPriority w:val="10"/>
    <w:qFormat/>
    <w:rsid w:val="00CB0A15"/>
    <w:pPr>
      <w:spacing w:before="120" w:line="240" w:lineRule="auto"/>
      <w:contextualSpacing/>
    </w:pPr>
    <w:rPr>
      <w:rFonts w:eastAsiaTheme="majorEastAsia" w:cstheme="majorBidi"/>
      <w:b/>
      <w:spacing w:val="-10"/>
      <w:kern w:val="28"/>
      <w:sz w:val="36"/>
      <w:szCs w:val="56"/>
    </w:rPr>
  </w:style>
  <w:style w:type="character" w:customStyle="1" w:styleId="NzevChar">
    <w:name w:val="Název Char"/>
    <w:basedOn w:val="Standardnpsmoodstavce"/>
    <w:link w:val="Nzev"/>
    <w:uiPriority w:val="10"/>
    <w:rsid w:val="00CB0A15"/>
    <w:rPr>
      <w:rFonts w:ascii="Arial" w:eastAsiaTheme="majorEastAsia" w:hAnsi="Arial" w:cstheme="majorBidi"/>
      <w:b/>
      <w:spacing w:val="-10"/>
      <w:kern w:val="28"/>
      <w:sz w:val="36"/>
      <w:szCs w:val="56"/>
    </w:rPr>
  </w:style>
  <w:style w:type="character" w:styleId="Hypertextovodkaz">
    <w:name w:val="Hyperlink"/>
    <w:uiPriority w:val="99"/>
    <w:rsid w:val="001F1BB4"/>
    <w:rPr>
      <w:color w:val="000080"/>
      <w:u w:val="single"/>
    </w:rPr>
  </w:style>
  <w:style w:type="paragraph" w:customStyle="1" w:styleId="Zkladnodstavec">
    <w:name w:val="[Základní odstavec]"/>
    <w:basedOn w:val="Normln"/>
    <w:rsid w:val="001F1BB4"/>
    <w:pPr>
      <w:widowControl w:val="0"/>
      <w:suppressAutoHyphens/>
      <w:autoSpaceDE w:val="0"/>
      <w:spacing w:line="288" w:lineRule="auto"/>
      <w:textAlignment w:val="center"/>
    </w:pPr>
    <w:rPr>
      <w:rFonts w:ascii="Times New Roman" w:eastAsia="Times New Roman" w:hAnsi="Times New Roman" w:cs="Times New Roman"/>
      <w:color w:val="000000"/>
      <w:kern w:val="1"/>
      <w:sz w:val="24"/>
      <w:szCs w:val="24"/>
      <w:lang w:val="en-US" w:eastAsia="zh-CN" w:bidi="hi-IN"/>
    </w:rPr>
  </w:style>
  <w:style w:type="character" w:styleId="Nevyeenzmnka">
    <w:name w:val="Unresolved Mention"/>
    <w:basedOn w:val="Standardnpsmoodstavce"/>
    <w:uiPriority w:val="99"/>
    <w:semiHidden/>
    <w:unhideWhenUsed/>
    <w:rsid w:val="00C81CF4"/>
    <w:rPr>
      <w:color w:val="605E5C"/>
      <w:shd w:val="clear" w:color="auto" w:fill="E1DFDD"/>
    </w:rPr>
  </w:style>
  <w:style w:type="paragraph" w:styleId="Odstavecseseznamem">
    <w:name w:val="List Paragraph"/>
    <w:basedOn w:val="Normln"/>
    <w:uiPriority w:val="34"/>
    <w:qFormat/>
    <w:rsid w:val="00C81CF4"/>
    <w:pPr>
      <w:ind w:left="720"/>
      <w:contextualSpacing/>
    </w:pPr>
  </w:style>
  <w:style w:type="table" w:styleId="Mkatabulky">
    <w:name w:val="Table Grid"/>
    <w:basedOn w:val="Normlntabulka"/>
    <w:uiPriority w:val="39"/>
    <w:rsid w:val="00E9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84B77"/>
    <w:pPr>
      <w:tabs>
        <w:tab w:val="center" w:pos="4536"/>
        <w:tab w:val="right" w:pos="9072"/>
      </w:tabs>
      <w:spacing w:line="240" w:lineRule="auto"/>
    </w:pPr>
  </w:style>
  <w:style w:type="character" w:customStyle="1" w:styleId="ZhlavChar">
    <w:name w:val="Záhlaví Char"/>
    <w:basedOn w:val="Standardnpsmoodstavce"/>
    <w:link w:val="Zhlav"/>
    <w:uiPriority w:val="99"/>
    <w:rsid w:val="00684B77"/>
    <w:rPr>
      <w:rFonts w:ascii="Arial" w:hAnsi="Arial"/>
    </w:rPr>
  </w:style>
  <w:style w:type="paragraph" w:styleId="Zpat">
    <w:name w:val="footer"/>
    <w:basedOn w:val="Normln"/>
    <w:link w:val="ZpatChar"/>
    <w:uiPriority w:val="99"/>
    <w:unhideWhenUsed/>
    <w:rsid w:val="00684B77"/>
    <w:pPr>
      <w:tabs>
        <w:tab w:val="center" w:pos="4536"/>
        <w:tab w:val="right" w:pos="9072"/>
      </w:tabs>
      <w:spacing w:line="240" w:lineRule="auto"/>
    </w:pPr>
  </w:style>
  <w:style w:type="character" w:customStyle="1" w:styleId="ZpatChar">
    <w:name w:val="Zápatí Char"/>
    <w:basedOn w:val="Standardnpsmoodstavce"/>
    <w:link w:val="Zpat"/>
    <w:uiPriority w:val="99"/>
    <w:rsid w:val="00684B77"/>
    <w:rPr>
      <w:rFonts w:ascii="Arial" w:hAnsi="Arial"/>
    </w:rPr>
  </w:style>
  <w:style w:type="character" w:customStyle="1" w:styleId="Nadpis3Char">
    <w:name w:val="Nadpis 3 Char"/>
    <w:aliases w:val="text Char"/>
    <w:basedOn w:val="Standardnpsmoodstavce"/>
    <w:link w:val="Nadpis3"/>
    <w:uiPriority w:val="9"/>
    <w:rsid w:val="00DF3544"/>
    <w:rPr>
      <w:rFonts w:ascii="Arial" w:eastAsiaTheme="majorEastAsia" w:hAnsi="Arial" w:cstheme="majorBidi"/>
      <w:szCs w:val="24"/>
    </w:rPr>
  </w:style>
  <w:style w:type="character" w:customStyle="1" w:styleId="Nadpis4Char">
    <w:name w:val="Nadpis 4 Char"/>
    <w:basedOn w:val="Standardnpsmoodstavce"/>
    <w:link w:val="Nadpis4"/>
    <w:uiPriority w:val="9"/>
    <w:rsid w:val="001C15C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1C15C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C15C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C15C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C15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C15C2"/>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340D66"/>
    <w:pPr>
      <w:spacing w:after="0" w:line="240" w:lineRule="auto"/>
      <w:jc w:val="both"/>
    </w:pPr>
    <w:rPr>
      <w:rFonts w:ascii="Arial" w:hAnsi="Arial"/>
    </w:rPr>
  </w:style>
  <w:style w:type="character" w:styleId="Odkaznakoment">
    <w:name w:val="annotation reference"/>
    <w:basedOn w:val="Standardnpsmoodstavce"/>
    <w:uiPriority w:val="99"/>
    <w:semiHidden/>
    <w:unhideWhenUsed/>
    <w:rsid w:val="006101CE"/>
    <w:rPr>
      <w:sz w:val="16"/>
      <w:szCs w:val="16"/>
    </w:rPr>
  </w:style>
  <w:style w:type="paragraph" w:styleId="Textkomente">
    <w:name w:val="annotation text"/>
    <w:basedOn w:val="Normln"/>
    <w:link w:val="TextkomenteChar"/>
    <w:uiPriority w:val="99"/>
    <w:semiHidden/>
    <w:unhideWhenUsed/>
    <w:rsid w:val="006101CE"/>
    <w:pPr>
      <w:spacing w:line="240" w:lineRule="auto"/>
    </w:pPr>
    <w:rPr>
      <w:sz w:val="20"/>
      <w:szCs w:val="20"/>
    </w:rPr>
  </w:style>
  <w:style w:type="character" w:customStyle="1" w:styleId="TextkomenteChar">
    <w:name w:val="Text komentáře Char"/>
    <w:basedOn w:val="Standardnpsmoodstavce"/>
    <w:link w:val="Textkomente"/>
    <w:uiPriority w:val="99"/>
    <w:semiHidden/>
    <w:rsid w:val="006101C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101CE"/>
    <w:rPr>
      <w:b/>
      <w:bCs/>
    </w:rPr>
  </w:style>
  <w:style w:type="character" w:customStyle="1" w:styleId="PedmtkomenteChar">
    <w:name w:val="Předmět komentáře Char"/>
    <w:basedOn w:val="TextkomenteChar"/>
    <w:link w:val="Pedmtkomente"/>
    <w:uiPriority w:val="99"/>
    <w:semiHidden/>
    <w:rsid w:val="006101C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9019">
      <w:bodyDiv w:val="1"/>
      <w:marLeft w:val="0"/>
      <w:marRight w:val="0"/>
      <w:marTop w:val="0"/>
      <w:marBottom w:val="0"/>
      <w:divBdr>
        <w:top w:val="none" w:sz="0" w:space="0" w:color="auto"/>
        <w:left w:val="none" w:sz="0" w:space="0" w:color="auto"/>
        <w:bottom w:val="none" w:sz="0" w:space="0" w:color="auto"/>
        <w:right w:val="none" w:sz="0" w:space="0" w:color="auto"/>
      </w:divBdr>
    </w:div>
    <w:div w:id="191346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4B06-BC98-4F1F-B4D0-FC84580A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1916</Words>
  <Characters>11309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J&amp;V</dc:creator>
  <cp:keywords/>
  <dc:description/>
  <cp:lastModifiedBy>Uzivatel</cp:lastModifiedBy>
  <cp:revision>3</cp:revision>
  <cp:lastPrinted>2022-05-25T13:31:00Z</cp:lastPrinted>
  <dcterms:created xsi:type="dcterms:W3CDTF">2026-05-20T12:27:00Z</dcterms:created>
  <dcterms:modified xsi:type="dcterms:W3CDTF">2026-05-20T12:29:00Z</dcterms:modified>
</cp:coreProperties>
</file>